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住院楼一楼消防管道更换项目</w:t>
      </w:r>
    </w:p>
    <w:p w14:paraId="662482D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68060元；</w:t>
      </w:r>
      <w:r>
        <w:rPr>
          <w:rFonts w:hint="eastAsia" w:ascii="仿宋" w:hAnsi="仿宋" w:cs="仿宋"/>
          <w:b w:val="0"/>
          <w:bCs/>
          <w:color w:val="000000"/>
          <w:sz w:val="21"/>
          <w:szCs w:val="21"/>
          <w:highlight w:val="none"/>
          <w:lang w:eastAsia="zh-CN"/>
        </w:rPr>
        <w:t>最高限价</w:t>
      </w:r>
      <w:r>
        <w:rPr>
          <w:rFonts w:hint="eastAsia" w:ascii="仿宋" w:hAnsi="仿宋" w:cs="仿宋"/>
          <w:color w:val="000000"/>
          <w:sz w:val="21"/>
          <w:szCs w:val="21"/>
          <w:highlight w:val="none"/>
          <w:lang w:val="en-US" w:eastAsia="zh-CN"/>
        </w:rPr>
        <w:t>68060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2690B1E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仿宋" w:hAnsi="仿宋" w:eastAsia="仿宋" w:cs="仿宋"/>
          <w:b/>
          <w:bCs/>
          <w:sz w:val="21"/>
          <w:szCs w:val="21"/>
          <w:lang w:val="en-US" w:eastAsia="zh-CN"/>
        </w:rPr>
      </w:pPr>
      <w:r>
        <w:rPr>
          <w:rFonts w:hint="eastAsia" w:ascii="仿宋" w:hAnsi="仿宋" w:eastAsia="仿宋" w:cs="仿宋"/>
          <w:b/>
          <w:bCs w:val="0"/>
          <w:color w:val="000000"/>
          <w:sz w:val="21"/>
          <w:szCs w:val="21"/>
          <w:lang w:eastAsia="zh-CN"/>
        </w:rPr>
        <w:t>三、项目内容：</w:t>
      </w:r>
      <w:bookmarkEnd w:id="0"/>
      <w:bookmarkEnd w:id="1"/>
      <w:r>
        <w:rPr>
          <w:rFonts w:hint="eastAsia" w:ascii="仿宋" w:hAnsi="仿宋" w:cs="仿宋"/>
          <w:b/>
          <w:bCs w:val="0"/>
          <w:color w:val="000000"/>
          <w:sz w:val="21"/>
          <w:szCs w:val="21"/>
          <w:lang w:eastAsia="zh-CN"/>
        </w:rPr>
        <w:t>拟对住院楼一楼部分消防管道进行更换，所需材料和人工由供应商提供，具体清单和限价如下：</w:t>
      </w:r>
    </w:p>
    <w:tbl>
      <w:tblPr>
        <w:tblStyle w:val="18"/>
        <w:tblpPr w:leftFromText="180" w:rightFromText="180" w:vertAnchor="text" w:horzAnchor="page" w:tblpX="1701" w:tblpY="224"/>
        <w:tblOverlap w:val="never"/>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052"/>
        <w:gridCol w:w="2537"/>
        <w:gridCol w:w="800"/>
        <w:gridCol w:w="750"/>
        <w:gridCol w:w="1300"/>
        <w:gridCol w:w="875"/>
      </w:tblGrid>
      <w:tr w14:paraId="3F8E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6E67">
            <w:pPr>
              <w:adjustRightInd/>
              <w:snapToGrid/>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序号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B9B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2BF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CF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3DB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C30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材料单价（含人工费）</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A63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eastAsia="宋体" w:cs="宋体"/>
                <w:i w:val="0"/>
                <w:iCs w:val="0"/>
                <w:color w:val="000000"/>
                <w:kern w:val="0"/>
                <w:sz w:val="18"/>
                <w:szCs w:val="18"/>
                <w:u w:val="none"/>
                <w:lang w:val="en-US" w:eastAsia="zh-CN" w:bidi="ar"/>
              </w:rPr>
              <w:t>合价</w:t>
            </w:r>
          </w:p>
        </w:tc>
      </w:tr>
      <w:tr w14:paraId="7458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98B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B86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消火栓镀锌钢管安装DN150</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FD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r>
              <w:rPr>
                <w:rFonts w:hint="eastAsia" w:ascii="宋体" w:hAnsi="宋体" w:eastAsia="宋体" w:cs="宋体"/>
                <w:i w:val="0"/>
                <w:iCs w:val="0"/>
                <w:color w:val="000000"/>
                <w:w w:val="90"/>
                <w:kern w:val="0"/>
                <w:sz w:val="18"/>
                <w:szCs w:val="18"/>
                <w:u w:val="none"/>
                <w:lang w:val="en-US" w:eastAsia="zh-CN" w:bidi="ar"/>
              </w:rPr>
              <w:t xml:space="preserve">1.安装部位(室内、外)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2.材质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3.型号、规格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4.连接方式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5.除锈标准、刷油防腐设计要求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6.水冲洗、水压试验设计要求</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4A75">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84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017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63FB">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325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EB94">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23700</w:t>
            </w:r>
          </w:p>
        </w:tc>
      </w:tr>
      <w:tr w14:paraId="7F76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B12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995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消火栓镀锌钢管安装DN100</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9A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r>
              <w:rPr>
                <w:rFonts w:hint="eastAsia" w:ascii="宋体" w:hAnsi="宋体" w:eastAsia="宋体" w:cs="宋体"/>
                <w:i w:val="0"/>
                <w:iCs w:val="0"/>
                <w:color w:val="000000"/>
                <w:w w:val="90"/>
                <w:kern w:val="0"/>
                <w:sz w:val="18"/>
                <w:szCs w:val="18"/>
                <w:u w:val="none"/>
                <w:lang w:val="en-US" w:eastAsia="zh-CN" w:bidi="ar"/>
              </w:rPr>
              <w:t xml:space="preserve">1.安装部位(室内、外)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2.材质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3.型号、规格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4.连接方式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5.除锈标准、刷油防腐设计要求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6.水冲洗、水压试验设计要求</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1C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D98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32A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2ED8">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2820</w:t>
            </w:r>
          </w:p>
        </w:tc>
      </w:tr>
      <w:tr w14:paraId="2511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902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6EA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消火栓镀锌钢管安装DN65</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05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r>
              <w:rPr>
                <w:rFonts w:hint="eastAsia" w:ascii="宋体" w:hAnsi="宋体" w:eastAsia="宋体" w:cs="宋体"/>
                <w:i w:val="0"/>
                <w:iCs w:val="0"/>
                <w:color w:val="000000"/>
                <w:w w:val="90"/>
                <w:kern w:val="0"/>
                <w:sz w:val="18"/>
                <w:szCs w:val="18"/>
                <w:u w:val="none"/>
                <w:lang w:val="en-US" w:eastAsia="zh-CN" w:bidi="ar"/>
              </w:rPr>
              <w:t>1.安装部位(室内、外)</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2.材质</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3.型号、规格</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4.连接方式</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5.除锈标准、刷油防腐设计要求</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6.水冲洗、水压试验设计要求</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8BC4">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8D4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6C61">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185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C012">
            <w:pPr>
              <w:keepNext w:val="0"/>
              <w:keepLines w:val="0"/>
              <w:widowControl/>
              <w:suppressLineNumbers w:val="0"/>
              <w:adjustRightInd/>
              <w:snapToGrid/>
              <w:spacing w:line="240" w:lineRule="auto"/>
              <w:jc w:val="center"/>
              <w:textAlignment w:val="center"/>
              <w:rPr>
                <w:rFonts w:hint="default" w:ascii="宋体" w:hAnsi="宋体" w:eastAsia="宋体" w:cs="宋体"/>
                <w:i w:val="0"/>
                <w:iCs w:val="0"/>
                <w:color w:val="000000"/>
                <w:sz w:val="18"/>
                <w:szCs w:val="18"/>
                <w:u w:val="none"/>
                <w:lang w:val="en-US"/>
              </w:rPr>
            </w:pPr>
            <w:r>
              <w:rPr>
                <w:rFonts w:hint="eastAsia" w:eastAsia="宋体" w:cs="宋体"/>
                <w:i w:val="0"/>
                <w:iCs w:val="0"/>
                <w:color w:val="000000"/>
                <w:kern w:val="0"/>
                <w:sz w:val="18"/>
                <w:szCs w:val="18"/>
                <w:u w:val="none"/>
                <w:lang w:val="en-US" w:eastAsia="zh-CN" w:bidi="ar"/>
              </w:rPr>
              <w:t>3330</w:t>
            </w:r>
          </w:p>
        </w:tc>
      </w:tr>
      <w:tr w14:paraId="3462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033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4AC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砖砌阀门井</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00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93E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8C2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5B5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06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5120 </w:t>
            </w:r>
          </w:p>
        </w:tc>
      </w:tr>
      <w:tr w14:paraId="5246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5AF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CBE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闸阀DN150</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0B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3A7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8CF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F7F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E40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2540 </w:t>
            </w:r>
          </w:p>
        </w:tc>
      </w:tr>
      <w:tr w14:paraId="3136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07C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993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墙体开洞、恢复</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FD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7A2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46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2BD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E70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r>
      <w:tr w14:paraId="1954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DE1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CFC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碰口封堵（含开挖）</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B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8B5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7B0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510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5C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20000 </w:t>
            </w:r>
          </w:p>
        </w:tc>
      </w:tr>
      <w:tr w14:paraId="05C1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ED2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CFC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管道支架制作安装</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6E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r>
              <w:rPr>
                <w:rFonts w:hint="eastAsia" w:ascii="宋体" w:hAnsi="宋体" w:eastAsia="宋体" w:cs="宋体"/>
                <w:i w:val="0"/>
                <w:iCs w:val="0"/>
                <w:color w:val="000000"/>
                <w:w w:val="90"/>
                <w:kern w:val="0"/>
                <w:sz w:val="18"/>
                <w:szCs w:val="18"/>
                <w:u w:val="none"/>
                <w:lang w:val="en-US" w:eastAsia="zh-CN" w:bidi="ar"/>
              </w:rPr>
              <w:t xml:space="preserve">1.管架形式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 xml:space="preserve">2.材质 </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3.除锈、刷油设计要求</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205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F3D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527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22E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r>
      <w:tr w14:paraId="1870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98C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187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管件辅材</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45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98F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647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542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BDE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r>
      <w:tr w14:paraId="612B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014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121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一层矿棉板拆除及恢复</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9B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w w:val="9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07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EF2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905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D1A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w:t>
            </w:r>
          </w:p>
        </w:tc>
      </w:tr>
      <w:tr w14:paraId="28C3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15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565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总合计</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FF3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68060 </w:t>
            </w:r>
          </w:p>
        </w:tc>
      </w:tr>
    </w:tbl>
    <w:p w14:paraId="1F192477">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3ADA901E">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1.全部铺设完成后严密性试验，需确保管道及接口无漏水。</w:t>
      </w:r>
    </w:p>
    <w:p w14:paraId="312C8037">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2.连接消防水泵房和控制主机，实现整个消防水系统的正常运行。</w:t>
      </w:r>
    </w:p>
    <w:p w14:paraId="34E6183C">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3.进行水压强度试验，确保管道工作压力范围在《消防给水及消防栓系统技术规范（GB 50974）》国家规定值内。</w:t>
      </w:r>
    </w:p>
    <w:p w14:paraId="26D54D71">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4.所有相关配件均需要进行防腐刷漆处理。</w:t>
      </w:r>
    </w:p>
    <w:p w14:paraId="2FD47E1A">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5.安装高度及固定方式等均需满足相关消防要求。</w:t>
      </w:r>
    </w:p>
    <w:p w14:paraId="115C9972">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6.成交供应商自行承担维保服务过程中所发生的安全责任事故的一切风险（提供承诺函）</w:t>
      </w:r>
      <w:r>
        <w:rPr>
          <w:rFonts w:hint="eastAsia" w:ascii="仿宋" w:hAnsi="仿宋" w:cs="仿宋"/>
          <w:b w:val="0"/>
          <w:bCs w:val="0"/>
          <w:color w:val="000000" w:themeColor="text1"/>
          <w:sz w:val="21"/>
          <w:szCs w:val="21"/>
          <w:lang w:val="en-US" w:eastAsia="zh-CN"/>
          <w14:textFill>
            <w14:solidFill>
              <w14:schemeClr w14:val="tx1"/>
            </w14:solidFill>
          </w14:textFill>
        </w:rPr>
        <w:t>。</w:t>
      </w:r>
    </w:p>
    <w:p w14:paraId="46414C01">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、商务要求</w:t>
      </w:r>
    </w:p>
    <w:p w14:paraId="6A6923E9">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(一)履约时间和地点</w:t>
      </w:r>
    </w:p>
    <w:p w14:paraId="3BDB6FBF">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1.履约时间:自合同签订之日起</w:t>
      </w:r>
      <w:r>
        <w:rPr>
          <w:rFonts w:hint="eastAsia" w:ascii="仿宋" w:hAnsi="仿宋" w:cs="仿宋"/>
          <w:bCs/>
          <w:color w:val="000000" w:themeColor="text1"/>
          <w:sz w:val="21"/>
          <w:szCs w:val="21"/>
          <w:lang w:val="en-US" w:eastAsia="zh-CN"/>
          <w14:textFill>
            <w14:solidFill>
              <w14:schemeClr w14:val="tx1"/>
            </w14:solidFill>
          </w14:textFill>
        </w:rPr>
        <w:t>30</w:t>
      </w:r>
      <w:r>
        <w:rPr>
          <w:rFonts w:hint="default" w:ascii="仿宋" w:hAnsi="仿宋" w:cs="仿宋"/>
          <w:bCs/>
          <w:color w:val="000000" w:themeColor="text1"/>
          <w:sz w:val="21"/>
          <w:szCs w:val="21"/>
          <w:lang w:val="en-US" w:eastAsia="zh-CN"/>
          <w14:textFill>
            <w14:solidFill>
              <w14:schemeClr w14:val="tx1"/>
            </w14:solidFill>
          </w14:textFill>
        </w:rPr>
        <w:t>日。</w:t>
      </w:r>
    </w:p>
    <w:p w14:paraId="62085477">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(二)合同价款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（三）付款方式</w:t>
      </w:r>
    </w:p>
    <w:p w14:paraId="08D744A3">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w:t>
      </w:r>
      <w:r>
        <w:rPr>
          <w:rFonts w:hint="eastAsia" w:ascii="仿宋" w:hAnsi="仿宋" w:cs="仿宋"/>
          <w:bCs/>
          <w:color w:val="000000" w:themeColor="text1"/>
          <w:sz w:val="21"/>
          <w:szCs w:val="21"/>
          <w:lang w:val="en-US" w:eastAsia="zh-CN"/>
          <w14:textFill>
            <w14:solidFill>
              <w14:schemeClr w14:val="tx1"/>
            </w14:solidFill>
          </w14:textFill>
        </w:rPr>
        <w:t>，</w:t>
      </w:r>
      <w:r>
        <w:rPr>
          <w:rFonts w:hint="default" w:ascii="仿宋" w:hAnsi="仿宋" w:cs="仿宋"/>
          <w:bCs/>
          <w:color w:val="000000" w:themeColor="text1"/>
          <w:sz w:val="21"/>
          <w:szCs w:val="21"/>
          <w:lang w:val="en-US" w:eastAsia="zh-CN"/>
          <w14:textFill>
            <w14:solidFill>
              <w14:schemeClr w14:val="tx1"/>
            </w14:solidFill>
          </w14:textFill>
        </w:rPr>
        <w:t>资料交接完毕，经验收合格并一次性开具合同全额增值税发票后，达到付款条件起30日内，支付合同总金额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01979510">
      <w:pPr>
        <w:pStyle w:val="8"/>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 本章中带“★”部分为实质性要求，带“★”条款不满足，则按无效投标处理。以上涉及国标要求的均按国家最新标准执行。</w:t>
      </w:r>
    </w:p>
    <w:p w14:paraId="70FEE4FB">
      <w:pP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0AB2578C">
      <w:pPr>
        <w:spacing w:line="360" w:lineRule="auto"/>
        <w:jc w:val="center"/>
        <w:rPr>
          <w:rFonts w:hint="eastAsia" w:eastAsia="黑体"/>
          <w:b/>
          <w:color w:val="auto"/>
          <w:sz w:val="32"/>
          <w:szCs w:val="32"/>
          <w:highlight w:val="none"/>
        </w:rPr>
      </w:pPr>
      <w:r>
        <w:rPr>
          <w:rFonts w:hint="eastAsia" w:eastAsia="黑体"/>
          <w:b/>
          <w:color w:val="auto"/>
          <w:sz w:val="32"/>
          <w:szCs w:val="32"/>
          <w:highlight w:val="none"/>
        </w:rPr>
        <w:t>四、开标一览表</w:t>
      </w:r>
    </w:p>
    <w:p w14:paraId="4ABDABFF">
      <w:pPr>
        <w:spacing w:line="360" w:lineRule="auto"/>
        <w:rPr>
          <w:b/>
          <w:bCs/>
          <w:color w:val="auto"/>
          <w:sz w:val="24"/>
          <w:highlight w:val="none"/>
        </w:rPr>
      </w:pPr>
    </w:p>
    <w:p w14:paraId="20AB9C01">
      <w:pPr>
        <w:spacing w:line="360" w:lineRule="auto"/>
        <w:rPr>
          <w:rFonts w:hint="eastAsia"/>
          <w:b/>
          <w:bCs/>
          <w:color w:val="auto"/>
          <w:sz w:val="24"/>
          <w:highlight w:val="none"/>
        </w:rPr>
      </w:pPr>
      <w:r>
        <w:rPr>
          <w:rFonts w:hint="eastAsia"/>
          <w:b/>
          <w:bCs/>
          <w:color w:val="auto"/>
          <w:sz w:val="24"/>
          <w:highlight w:val="none"/>
        </w:rPr>
        <w:t>项目名称：</w:t>
      </w:r>
      <w:r>
        <w:rPr>
          <w:rFonts w:hint="eastAsia" w:eastAsia="新宋体"/>
          <w:b/>
          <w:bCs/>
          <w:color w:val="auto"/>
          <w:sz w:val="24"/>
          <w:highlight w:val="none"/>
          <w:u w:val="single"/>
        </w:rPr>
        <w:t xml:space="preserve">                                        </w:t>
      </w:r>
    </w:p>
    <w:p w14:paraId="41E179A1">
      <w:pPr>
        <w:tabs>
          <w:tab w:val="left" w:pos="8364"/>
          <w:tab w:val="clear" w:pos="0"/>
        </w:tabs>
        <w:snapToGrid w:val="0"/>
        <w:ind w:right="-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18"/>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627"/>
        <w:gridCol w:w="2977"/>
        <w:gridCol w:w="2797"/>
      </w:tblGrid>
      <w:tr w14:paraId="485C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9" w:type="dxa"/>
            <w:noWrap w:val="0"/>
            <w:vAlign w:val="center"/>
          </w:tcPr>
          <w:p w14:paraId="37EDAE53">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序号</w:t>
            </w:r>
          </w:p>
        </w:tc>
        <w:tc>
          <w:tcPr>
            <w:tcW w:w="2627" w:type="dxa"/>
            <w:noWrap w:val="0"/>
            <w:vAlign w:val="center"/>
          </w:tcPr>
          <w:p w14:paraId="29E64D5A">
            <w:pPr>
              <w:ind w:left="-120" w:leftChars="-50" w:right="-120" w:rightChars="-50"/>
              <w:jc w:val="center"/>
              <w:rPr>
                <w:rFonts w:hint="eastAsia" w:ascii="宋体" w:hAnsi="宋体"/>
                <w:b/>
                <w:color w:val="auto"/>
                <w:sz w:val="24"/>
                <w:highlight w:val="none"/>
              </w:rPr>
            </w:pPr>
            <w:r>
              <w:rPr>
                <w:rFonts w:hint="eastAsia"/>
                <w:b/>
                <w:color w:val="auto"/>
                <w:sz w:val="24"/>
                <w:highlight w:val="none"/>
                <w:lang w:eastAsia="zh-CN"/>
              </w:rPr>
              <w:t>项目</w:t>
            </w:r>
            <w:r>
              <w:rPr>
                <w:rFonts w:hint="eastAsia" w:ascii="宋体" w:hAnsi="宋体"/>
                <w:b/>
                <w:color w:val="auto"/>
                <w:sz w:val="24"/>
                <w:highlight w:val="none"/>
              </w:rPr>
              <w:t>内容</w:t>
            </w:r>
          </w:p>
        </w:tc>
        <w:tc>
          <w:tcPr>
            <w:tcW w:w="2977" w:type="dxa"/>
            <w:noWrap w:val="0"/>
            <w:vAlign w:val="center"/>
          </w:tcPr>
          <w:p w14:paraId="68E89EA0">
            <w:pPr>
              <w:ind w:left="-120" w:leftChars="-50" w:right="-120" w:rightChars="-50"/>
              <w:jc w:val="center"/>
              <w:rPr>
                <w:rFonts w:hint="eastAsia" w:ascii="宋体" w:hAnsi="宋体"/>
                <w:b/>
                <w:color w:val="auto"/>
                <w:sz w:val="24"/>
                <w:highlight w:val="none"/>
              </w:rPr>
            </w:pPr>
            <w:r>
              <w:rPr>
                <w:rFonts w:hint="eastAsia"/>
                <w:b/>
                <w:color w:val="auto"/>
                <w:sz w:val="24"/>
                <w:highlight w:val="none"/>
                <w:lang w:eastAsia="zh-CN"/>
              </w:rPr>
              <w:t>完成</w:t>
            </w:r>
            <w:r>
              <w:rPr>
                <w:rFonts w:hint="eastAsia" w:ascii="宋体" w:hAnsi="宋体"/>
                <w:b/>
                <w:color w:val="auto"/>
                <w:sz w:val="24"/>
                <w:highlight w:val="none"/>
              </w:rPr>
              <w:t>期限</w:t>
            </w:r>
          </w:p>
        </w:tc>
        <w:tc>
          <w:tcPr>
            <w:tcW w:w="2797" w:type="dxa"/>
            <w:noWrap w:val="0"/>
            <w:vAlign w:val="center"/>
          </w:tcPr>
          <w:p w14:paraId="10ED9C9C">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报价</w:t>
            </w:r>
          </w:p>
        </w:tc>
      </w:tr>
      <w:tr w14:paraId="0861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19" w:type="dxa"/>
            <w:noWrap w:val="0"/>
            <w:vAlign w:val="center"/>
          </w:tcPr>
          <w:p w14:paraId="6B5451C1">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r>
              <w:rPr>
                <w:rFonts w:hint="eastAsia" w:asciiTheme="minorHAnsi" w:hAnsiTheme="minorHAnsi" w:eastAsiaTheme="minorEastAsia" w:cstheme="minorBidi"/>
                <w:bCs/>
                <w:color w:val="auto"/>
                <w:kern w:val="2"/>
                <w:sz w:val="24"/>
                <w:szCs w:val="24"/>
                <w:highlight w:val="none"/>
                <w:lang w:val="en-US" w:eastAsia="zh-CN" w:bidi="ar-SA"/>
              </w:rPr>
              <w:t>1</w:t>
            </w:r>
          </w:p>
        </w:tc>
        <w:tc>
          <w:tcPr>
            <w:tcW w:w="2627" w:type="dxa"/>
            <w:noWrap w:val="0"/>
            <w:vAlign w:val="center"/>
          </w:tcPr>
          <w:p w14:paraId="34ABB43A">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977" w:type="dxa"/>
            <w:noWrap w:val="0"/>
            <w:vAlign w:val="center"/>
          </w:tcPr>
          <w:p w14:paraId="23F341CE">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797" w:type="dxa"/>
            <w:noWrap w:val="0"/>
            <w:vAlign w:val="center"/>
          </w:tcPr>
          <w:p w14:paraId="6946B867">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r>
      <w:tr w14:paraId="47A0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19" w:type="dxa"/>
            <w:noWrap w:val="0"/>
            <w:vAlign w:val="center"/>
          </w:tcPr>
          <w:p w14:paraId="5D3D33AF">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r>
              <w:rPr>
                <w:rFonts w:hint="eastAsia" w:asciiTheme="minorHAnsi" w:hAnsiTheme="minorHAnsi" w:eastAsiaTheme="minorEastAsia" w:cstheme="minorBidi"/>
                <w:bCs/>
                <w:color w:val="auto"/>
                <w:kern w:val="2"/>
                <w:sz w:val="24"/>
                <w:szCs w:val="24"/>
                <w:highlight w:val="none"/>
                <w:lang w:val="en-US" w:eastAsia="zh-CN" w:bidi="ar-SA"/>
              </w:rPr>
              <w:t>2</w:t>
            </w:r>
          </w:p>
        </w:tc>
        <w:tc>
          <w:tcPr>
            <w:tcW w:w="2627" w:type="dxa"/>
            <w:noWrap w:val="0"/>
            <w:vAlign w:val="center"/>
          </w:tcPr>
          <w:p w14:paraId="3D8787C5">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977" w:type="dxa"/>
            <w:noWrap w:val="0"/>
            <w:vAlign w:val="center"/>
          </w:tcPr>
          <w:p w14:paraId="3B4A6239">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797" w:type="dxa"/>
            <w:noWrap w:val="0"/>
            <w:vAlign w:val="center"/>
          </w:tcPr>
          <w:p w14:paraId="37FED4CB">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r>
      <w:tr w14:paraId="60E0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19" w:type="dxa"/>
            <w:noWrap w:val="0"/>
            <w:vAlign w:val="center"/>
          </w:tcPr>
          <w:p w14:paraId="1EB947CB">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r>
              <w:rPr>
                <w:rFonts w:hint="eastAsia" w:asciiTheme="minorHAnsi" w:hAnsiTheme="minorHAnsi" w:eastAsiaTheme="minorEastAsia" w:cstheme="minorBidi"/>
                <w:bCs/>
                <w:color w:val="auto"/>
                <w:kern w:val="2"/>
                <w:sz w:val="24"/>
                <w:szCs w:val="24"/>
                <w:highlight w:val="none"/>
                <w:lang w:val="en-US" w:eastAsia="zh-CN" w:bidi="ar-SA"/>
              </w:rPr>
              <w:t>3</w:t>
            </w:r>
          </w:p>
        </w:tc>
        <w:tc>
          <w:tcPr>
            <w:tcW w:w="2627" w:type="dxa"/>
            <w:noWrap w:val="0"/>
            <w:vAlign w:val="center"/>
          </w:tcPr>
          <w:p w14:paraId="116A304D">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977" w:type="dxa"/>
            <w:noWrap w:val="0"/>
            <w:vAlign w:val="center"/>
          </w:tcPr>
          <w:p w14:paraId="4B2899C3">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c>
          <w:tcPr>
            <w:tcW w:w="2797" w:type="dxa"/>
            <w:noWrap w:val="0"/>
            <w:vAlign w:val="center"/>
          </w:tcPr>
          <w:p w14:paraId="195647E7">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p>
        </w:tc>
      </w:tr>
      <w:tr w14:paraId="38E4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446" w:type="dxa"/>
            <w:gridSpan w:val="2"/>
            <w:noWrap w:val="0"/>
            <w:vAlign w:val="center"/>
          </w:tcPr>
          <w:p w14:paraId="28F4A2DC">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r>
              <w:rPr>
                <w:rFonts w:hint="eastAsia" w:asciiTheme="minorHAnsi" w:hAnsiTheme="minorHAnsi" w:eastAsiaTheme="minorEastAsia" w:cstheme="minorBidi"/>
                <w:bCs/>
                <w:color w:val="auto"/>
                <w:kern w:val="2"/>
                <w:sz w:val="24"/>
                <w:szCs w:val="24"/>
                <w:highlight w:val="none"/>
                <w:lang w:val="en-US" w:eastAsia="zh-CN" w:bidi="ar-SA"/>
              </w:rPr>
              <w:t>报价总价</w:t>
            </w:r>
          </w:p>
        </w:tc>
        <w:tc>
          <w:tcPr>
            <w:tcW w:w="5774" w:type="dxa"/>
            <w:gridSpan w:val="2"/>
            <w:noWrap w:val="0"/>
            <w:vAlign w:val="center"/>
          </w:tcPr>
          <w:p w14:paraId="7FFFFAD6">
            <w:pPr>
              <w:pStyle w:val="39"/>
              <w:jc w:val="center"/>
              <w:rPr>
                <w:rFonts w:hint="eastAsia" w:asciiTheme="minorHAnsi" w:hAnsiTheme="minorHAnsi" w:eastAsiaTheme="minorEastAsia" w:cstheme="minorBidi"/>
                <w:bCs/>
                <w:color w:val="auto"/>
                <w:kern w:val="2"/>
                <w:sz w:val="24"/>
                <w:szCs w:val="24"/>
                <w:highlight w:val="none"/>
                <w:lang w:val="en-US" w:eastAsia="zh-CN" w:bidi="ar-SA"/>
              </w:rPr>
            </w:pPr>
            <w:r>
              <w:rPr>
                <w:rFonts w:hint="eastAsia" w:asciiTheme="minorHAnsi" w:hAnsiTheme="minorHAnsi" w:eastAsiaTheme="minorEastAsia" w:cstheme="minorBidi"/>
                <w:bCs/>
                <w:color w:val="auto"/>
                <w:kern w:val="2"/>
                <w:sz w:val="24"/>
                <w:szCs w:val="24"/>
                <w:highlight w:val="none"/>
                <w:lang w:val="en-US" w:eastAsia="zh-CN" w:bidi="ar-SA"/>
              </w:rPr>
              <w:t>人民币（大写：）</w:t>
            </w:r>
          </w:p>
        </w:tc>
      </w:tr>
    </w:tbl>
    <w:p w14:paraId="7131642D">
      <w:pPr>
        <w:spacing w:line="400" w:lineRule="exact"/>
        <w:ind w:firstLine="480" w:firstLineChars="200"/>
        <w:jc w:val="left"/>
        <w:rPr>
          <w:rFonts w:hint="eastAsia" w:ascii="仿宋" w:hAnsi="仿宋" w:eastAsia="仿宋" w:cs="仿宋"/>
          <w:color w:val="auto"/>
          <w:sz w:val="24"/>
          <w:szCs w:val="24"/>
          <w:highlight w:val="none"/>
        </w:rPr>
      </w:pPr>
    </w:p>
    <w:p w14:paraId="5C46A922">
      <w:pPr>
        <w:pStyle w:val="39"/>
        <w:rPr>
          <w:rFonts w:hint="eastAsia" w:ascii="仿宋" w:hAnsi="仿宋" w:eastAsia="仿宋" w:cs="仿宋"/>
          <w:color w:val="auto"/>
          <w:sz w:val="24"/>
          <w:szCs w:val="24"/>
          <w:highlight w:val="none"/>
        </w:rPr>
      </w:pPr>
      <w:r>
        <w:rPr>
          <w:rFonts w:hint="eastAsia" w:asciiTheme="minorHAnsi" w:hAnsiTheme="minorHAnsi" w:eastAsiaTheme="minorEastAsia" w:cstheme="minorBidi"/>
          <w:bCs/>
          <w:color w:val="auto"/>
          <w:kern w:val="2"/>
          <w:sz w:val="24"/>
          <w:szCs w:val="24"/>
          <w:highlight w:val="none"/>
          <w:lang w:val="en-US" w:eastAsia="zh-CN" w:bidi="ar-SA"/>
        </w:rPr>
        <w:t>注：供应商的响应报价不得超过最高限价，否则作为无效响应文件处理。</w:t>
      </w:r>
    </w:p>
    <w:p w14:paraId="12425CE1">
      <w:pPr>
        <w:spacing w:line="300" w:lineRule="auto"/>
        <w:jc w:val="left"/>
        <w:rPr>
          <w:rFonts w:hint="eastAsia"/>
          <w:bCs/>
          <w:color w:val="auto"/>
          <w:sz w:val="24"/>
          <w:highlight w:val="none"/>
        </w:rPr>
      </w:pPr>
      <w:r>
        <w:rPr>
          <w:rFonts w:hint="eastAsia"/>
          <w:b/>
          <w:color w:val="auto"/>
          <w:sz w:val="24"/>
          <w:highlight w:val="none"/>
        </w:rPr>
        <w:t>注：所有报价均用人民币表示，所报价格是交货地的验收价格，其总价即为履行合同的固定价格。货物设计、材料、制造、包装、运输、保险、安装、调试、检测、人工、税金、验收合格交付使用之前及保修期内保修服务与备用物件等所有其他有关各项的含税费用均应包含在报价中；进口货物请列明含关税、进口环节税的报价和不含关税、进口环节税的报价。</w:t>
      </w:r>
    </w:p>
    <w:p w14:paraId="2FBFB00A">
      <w:pPr>
        <w:rPr>
          <w:rFonts w:hint="eastAsia"/>
          <w:color w:val="auto"/>
          <w:sz w:val="32"/>
          <w:highlight w:val="none"/>
        </w:rPr>
      </w:pPr>
      <w:bookmarkStart w:id="12" w:name="_GoBack"/>
      <w:bookmarkEnd w:id="12"/>
    </w:p>
    <w:p w14:paraId="1B286662">
      <w:pPr>
        <w:adjustRightInd w:val="0"/>
        <w:spacing w:line="360" w:lineRule="auto"/>
        <w:jc w:val="left"/>
        <w:rPr>
          <w:rFonts w:hint="eastAsia"/>
          <w:bCs/>
          <w:color w:val="auto"/>
          <w:sz w:val="24"/>
          <w:highlight w:val="none"/>
        </w:rPr>
      </w:pPr>
      <w:r>
        <w:rPr>
          <w:rFonts w:hint="eastAsia"/>
          <w:bCs/>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u w:val="single"/>
        </w:rPr>
        <w:t xml:space="preserve">   </w:t>
      </w:r>
    </w:p>
    <w:p w14:paraId="6E1554EE">
      <w:pPr>
        <w:adjustRightInd w:val="0"/>
        <w:spacing w:line="360" w:lineRule="auto"/>
        <w:jc w:val="left"/>
        <w:rPr>
          <w:rFonts w:hint="eastAsia"/>
          <w:bCs/>
          <w:color w:val="auto"/>
          <w:sz w:val="24"/>
          <w:highlight w:val="none"/>
        </w:rPr>
      </w:pPr>
      <w:r>
        <w:rPr>
          <w:rFonts w:hint="eastAsia"/>
          <w:bCs/>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bCs/>
          <w:color w:val="auto"/>
          <w:sz w:val="24"/>
          <w:highlight w:val="none"/>
          <w:u w:val="single"/>
        </w:rPr>
        <w:t xml:space="preserve">            </w:t>
      </w:r>
    </w:p>
    <w:p w14:paraId="4BDCCF75">
      <w:pPr>
        <w:adjustRightInd w:val="0"/>
        <w:spacing w:line="360" w:lineRule="auto"/>
        <w:jc w:val="left"/>
        <w:rPr>
          <w:rFonts w:hint="eastAsia"/>
          <w:color w:val="auto"/>
          <w:highlight w:val="none"/>
        </w:rPr>
      </w:pPr>
      <w:r>
        <w:rPr>
          <w:rFonts w:hint="eastAsia"/>
          <w:bCs/>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r>
        <w:rPr>
          <w:color w:val="auto"/>
          <w:highlight w:val="none"/>
        </w:rPr>
        <w:br w:type="page"/>
      </w:r>
      <w:r>
        <w:rPr>
          <w:b/>
          <w:color w:val="auto"/>
          <w:sz w:val="24"/>
          <w:highlight w:val="none"/>
        </w:rPr>
        <w:t>格式2-</w:t>
      </w:r>
      <w:r>
        <w:rPr>
          <w:rFonts w:hint="eastAsia"/>
          <w:b/>
          <w:color w:val="auto"/>
          <w:sz w:val="24"/>
          <w:highlight w:val="none"/>
        </w:rPr>
        <w:t>5</w:t>
      </w:r>
    </w:p>
    <w:p w14:paraId="5B4A9F46">
      <w:pPr>
        <w:spacing w:line="360" w:lineRule="auto"/>
        <w:jc w:val="center"/>
        <w:rPr>
          <w:rFonts w:hint="eastAsia" w:eastAsia="黑体"/>
          <w:b/>
          <w:color w:val="auto"/>
          <w:sz w:val="32"/>
          <w:szCs w:val="32"/>
          <w:highlight w:val="none"/>
        </w:rPr>
      </w:pPr>
      <w:r>
        <w:rPr>
          <w:rFonts w:hint="eastAsia" w:eastAsia="黑体"/>
          <w:b/>
          <w:color w:val="auto"/>
          <w:sz w:val="32"/>
          <w:szCs w:val="32"/>
          <w:highlight w:val="none"/>
          <w:lang w:eastAsia="zh-CN"/>
        </w:rPr>
        <w:t>五、</w:t>
      </w:r>
      <w:r>
        <w:rPr>
          <w:rFonts w:hint="eastAsia" w:eastAsia="黑体"/>
          <w:b/>
          <w:color w:val="auto"/>
          <w:sz w:val="32"/>
          <w:szCs w:val="32"/>
          <w:highlight w:val="none"/>
        </w:rPr>
        <w:t>分项报价表</w:t>
      </w:r>
    </w:p>
    <w:p w14:paraId="7EDED702">
      <w:pPr>
        <w:rPr>
          <w:rFonts w:hint="eastAsia"/>
          <w:color w:val="auto"/>
          <w:highlight w:val="none"/>
        </w:rPr>
      </w:pPr>
    </w:p>
    <w:p w14:paraId="5BD1777F">
      <w:pPr>
        <w:spacing w:line="360" w:lineRule="auto"/>
        <w:rPr>
          <w:b/>
          <w:color w:val="auto"/>
          <w:sz w:val="24"/>
          <w:highlight w:val="none"/>
          <w:u w:val="single"/>
        </w:rPr>
      </w:pPr>
      <w:r>
        <w:rPr>
          <w:rFonts w:hint="eastAsia"/>
          <w:b/>
          <w:color w:val="auto"/>
          <w:sz w:val="24"/>
          <w:highlight w:val="none"/>
        </w:rPr>
        <w:t>项目名称：</w:t>
      </w:r>
      <w:r>
        <w:rPr>
          <w:rFonts w:hint="eastAsia"/>
          <w:b/>
          <w:color w:val="auto"/>
          <w:sz w:val="24"/>
          <w:highlight w:val="none"/>
          <w:u w:val="single"/>
        </w:rPr>
        <w:t xml:space="preserve"> </w:t>
      </w:r>
      <w:r>
        <w:rPr>
          <w:b/>
          <w:color w:val="auto"/>
          <w:sz w:val="24"/>
          <w:highlight w:val="none"/>
          <w:u w:val="single"/>
        </w:rPr>
        <w:t xml:space="preserve">                     </w:t>
      </w:r>
    </w:p>
    <w:p w14:paraId="6356A62A">
      <w:pPr>
        <w:spacing w:line="360" w:lineRule="auto"/>
        <w:rPr>
          <w:b/>
          <w:color w:val="auto"/>
          <w:sz w:val="24"/>
          <w:highlight w:val="none"/>
          <w:u w:val="single"/>
        </w:rPr>
      </w:pPr>
    </w:p>
    <w:tbl>
      <w:tblPr>
        <w:tblStyle w:val="18"/>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1737"/>
        <w:gridCol w:w="1005"/>
        <w:gridCol w:w="855"/>
        <w:gridCol w:w="1095"/>
      </w:tblGrid>
      <w:tr w14:paraId="4322C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trPr>
        <w:tc>
          <w:tcPr>
            <w:tcW w:w="814" w:type="dxa"/>
            <w:noWrap w:val="0"/>
            <w:vAlign w:val="center"/>
          </w:tcPr>
          <w:p w14:paraId="641D0D77">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序号</w:t>
            </w:r>
          </w:p>
        </w:tc>
        <w:tc>
          <w:tcPr>
            <w:tcW w:w="1399" w:type="dxa"/>
            <w:noWrap w:val="0"/>
            <w:vAlign w:val="center"/>
          </w:tcPr>
          <w:p w14:paraId="021B81FA">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货物名称</w:t>
            </w:r>
          </w:p>
        </w:tc>
        <w:tc>
          <w:tcPr>
            <w:tcW w:w="1311" w:type="dxa"/>
            <w:noWrap w:val="0"/>
            <w:vAlign w:val="center"/>
          </w:tcPr>
          <w:p w14:paraId="43A95A17">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964" w:type="dxa"/>
            <w:noWrap w:val="0"/>
            <w:vAlign w:val="center"/>
          </w:tcPr>
          <w:p w14:paraId="39DDB55C">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品牌</w:t>
            </w:r>
          </w:p>
        </w:tc>
        <w:tc>
          <w:tcPr>
            <w:tcW w:w="1737" w:type="dxa"/>
            <w:noWrap w:val="0"/>
            <w:vAlign w:val="center"/>
          </w:tcPr>
          <w:p w14:paraId="3EBBBBB6">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制造商</w:t>
            </w:r>
          </w:p>
        </w:tc>
        <w:tc>
          <w:tcPr>
            <w:tcW w:w="1005" w:type="dxa"/>
            <w:noWrap w:val="0"/>
            <w:vAlign w:val="center"/>
          </w:tcPr>
          <w:p w14:paraId="2A73006D">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单价</w:t>
            </w:r>
          </w:p>
        </w:tc>
        <w:tc>
          <w:tcPr>
            <w:tcW w:w="855" w:type="dxa"/>
            <w:noWrap w:val="0"/>
            <w:vAlign w:val="center"/>
          </w:tcPr>
          <w:p w14:paraId="60F18DF2">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数量</w:t>
            </w:r>
          </w:p>
        </w:tc>
        <w:tc>
          <w:tcPr>
            <w:tcW w:w="1095" w:type="dxa"/>
            <w:noWrap w:val="0"/>
            <w:vAlign w:val="center"/>
          </w:tcPr>
          <w:p w14:paraId="2FBAD132">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总价</w:t>
            </w:r>
          </w:p>
        </w:tc>
      </w:tr>
      <w:tr w14:paraId="6A96E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37C53881">
            <w:pPr>
              <w:spacing w:line="360" w:lineRule="auto"/>
              <w:ind w:left="-120" w:leftChars="-50" w:right="-120" w:rightChars="-50"/>
              <w:jc w:val="center"/>
              <w:rPr>
                <w:rFonts w:hint="eastAsia"/>
                <w:color w:val="auto"/>
                <w:sz w:val="24"/>
              </w:rPr>
            </w:pPr>
          </w:p>
        </w:tc>
        <w:tc>
          <w:tcPr>
            <w:tcW w:w="1399" w:type="dxa"/>
            <w:noWrap w:val="0"/>
            <w:vAlign w:val="center"/>
          </w:tcPr>
          <w:p w14:paraId="09BE8405">
            <w:pPr>
              <w:spacing w:line="360" w:lineRule="auto"/>
              <w:ind w:left="-120" w:leftChars="-50" w:right="-120" w:rightChars="-50"/>
              <w:jc w:val="center"/>
              <w:rPr>
                <w:rFonts w:hint="eastAsia"/>
                <w:color w:val="auto"/>
                <w:sz w:val="24"/>
              </w:rPr>
            </w:pPr>
          </w:p>
        </w:tc>
        <w:tc>
          <w:tcPr>
            <w:tcW w:w="1311" w:type="dxa"/>
            <w:noWrap w:val="0"/>
            <w:vAlign w:val="center"/>
          </w:tcPr>
          <w:p w14:paraId="74EA01E0">
            <w:pPr>
              <w:spacing w:line="360" w:lineRule="auto"/>
              <w:ind w:left="-120" w:leftChars="-50" w:right="-120" w:rightChars="-50"/>
              <w:jc w:val="center"/>
              <w:rPr>
                <w:rFonts w:hint="eastAsia"/>
                <w:color w:val="auto"/>
                <w:sz w:val="24"/>
              </w:rPr>
            </w:pPr>
          </w:p>
        </w:tc>
        <w:tc>
          <w:tcPr>
            <w:tcW w:w="964" w:type="dxa"/>
            <w:noWrap w:val="0"/>
            <w:vAlign w:val="center"/>
          </w:tcPr>
          <w:p w14:paraId="7691AB9E">
            <w:pPr>
              <w:spacing w:line="360" w:lineRule="auto"/>
              <w:ind w:left="-120" w:leftChars="-50" w:right="-120" w:rightChars="-50"/>
              <w:jc w:val="center"/>
              <w:rPr>
                <w:rFonts w:hint="eastAsia"/>
                <w:color w:val="auto"/>
                <w:sz w:val="24"/>
              </w:rPr>
            </w:pPr>
          </w:p>
        </w:tc>
        <w:tc>
          <w:tcPr>
            <w:tcW w:w="1737" w:type="dxa"/>
            <w:noWrap w:val="0"/>
            <w:vAlign w:val="center"/>
          </w:tcPr>
          <w:p w14:paraId="7B787BEB">
            <w:pPr>
              <w:spacing w:line="360" w:lineRule="auto"/>
              <w:ind w:left="-120" w:leftChars="-50" w:right="-120" w:rightChars="-50"/>
              <w:jc w:val="center"/>
              <w:rPr>
                <w:rFonts w:hint="eastAsia"/>
                <w:color w:val="auto"/>
                <w:sz w:val="24"/>
              </w:rPr>
            </w:pPr>
          </w:p>
        </w:tc>
        <w:tc>
          <w:tcPr>
            <w:tcW w:w="1005" w:type="dxa"/>
            <w:noWrap w:val="0"/>
            <w:vAlign w:val="center"/>
          </w:tcPr>
          <w:p w14:paraId="703FF087">
            <w:pPr>
              <w:spacing w:line="360" w:lineRule="auto"/>
              <w:ind w:left="-120" w:leftChars="-50" w:right="-120" w:rightChars="-50"/>
              <w:jc w:val="center"/>
              <w:rPr>
                <w:rFonts w:hint="eastAsia"/>
                <w:color w:val="auto"/>
                <w:sz w:val="24"/>
              </w:rPr>
            </w:pPr>
          </w:p>
        </w:tc>
        <w:tc>
          <w:tcPr>
            <w:tcW w:w="855" w:type="dxa"/>
            <w:noWrap w:val="0"/>
            <w:vAlign w:val="center"/>
          </w:tcPr>
          <w:p w14:paraId="725169AA">
            <w:pPr>
              <w:spacing w:line="360" w:lineRule="auto"/>
              <w:ind w:left="-120" w:leftChars="-50" w:right="-120" w:rightChars="-50"/>
              <w:jc w:val="center"/>
              <w:rPr>
                <w:rFonts w:hint="eastAsia"/>
                <w:color w:val="auto"/>
                <w:sz w:val="24"/>
              </w:rPr>
            </w:pPr>
          </w:p>
        </w:tc>
        <w:tc>
          <w:tcPr>
            <w:tcW w:w="1095" w:type="dxa"/>
            <w:noWrap w:val="0"/>
            <w:vAlign w:val="center"/>
          </w:tcPr>
          <w:p w14:paraId="76AD0074">
            <w:pPr>
              <w:spacing w:line="360" w:lineRule="auto"/>
              <w:ind w:left="-120" w:leftChars="-50" w:right="-120" w:rightChars="-50"/>
              <w:jc w:val="center"/>
              <w:rPr>
                <w:rFonts w:hint="eastAsia"/>
                <w:color w:val="auto"/>
                <w:sz w:val="24"/>
              </w:rPr>
            </w:pPr>
          </w:p>
        </w:tc>
      </w:tr>
      <w:tr w14:paraId="73441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B975A3D">
            <w:pPr>
              <w:spacing w:line="360" w:lineRule="auto"/>
              <w:ind w:left="-120" w:leftChars="-50" w:right="-120" w:rightChars="-50"/>
              <w:jc w:val="center"/>
              <w:rPr>
                <w:rFonts w:hint="eastAsia"/>
                <w:color w:val="auto"/>
                <w:sz w:val="24"/>
              </w:rPr>
            </w:pPr>
          </w:p>
        </w:tc>
        <w:tc>
          <w:tcPr>
            <w:tcW w:w="1399" w:type="dxa"/>
            <w:noWrap w:val="0"/>
            <w:vAlign w:val="center"/>
          </w:tcPr>
          <w:p w14:paraId="1BB04F77">
            <w:pPr>
              <w:spacing w:line="360" w:lineRule="auto"/>
              <w:ind w:left="-120" w:leftChars="-50" w:right="-120" w:rightChars="-50"/>
              <w:jc w:val="center"/>
              <w:rPr>
                <w:rFonts w:hint="eastAsia"/>
                <w:color w:val="auto"/>
                <w:sz w:val="24"/>
              </w:rPr>
            </w:pPr>
          </w:p>
        </w:tc>
        <w:tc>
          <w:tcPr>
            <w:tcW w:w="1311" w:type="dxa"/>
            <w:noWrap w:val="0"/>
            <w:vAlign w:val="center"/>
          </w:tcPr>
          <w:p w14:paraId="231B0660">
            <w:pPr>
              <w:spacing w:line="360" w:lineRule="auto"/>
              <w:ind w:left="-120" w:leftChars="-50" w:right="-120" w:rightChars="-50"/>
              <w:jc w:val="center"/>
              <w:rPr>
                <w:rFonts w:hint="eastAsia"/>
                <w:color w:val="auto"/>
                <w:sz w:val="24"/>
              </w:rPr>
            </w:pPr>
          </w:p>
        </w:tc>
        <w:tc>
          <w:tcPr>
            <w:tcW w:w="964" w:type="dxa"/>
            <w:noWrap w:val="0"/>
            <w:vAlign w:val="center"/>
          </w:tcPr>
          <w:p w14:paraId="2530B0E4">
            <w:pPr>
              <w:spacing w:line="360" w:lineRule="auto"/>
              <w:ind w:left="-120" w:leftChars="-50" w:right="-120" w:rightChars="-50"/>
              <w:jc w:val="center"/>
              <w:rPr>
                <w:rFonts w:hint="eastAsia"/>
                <w:color w:val="auto"/>
                <w:sz w:val="24"/>
              </w:rPr>
            </w:pPr>
          </w:p>
        </w:tc>
        <w:tc>
          <w:tcPr>
            <w:tcW w:w="1737" w:type="dxa"/>
            <w:noWrap w:val="0"/>
            <w:vAlign w:val="center"/>
          </w:tcPr>
          <w:p w14:paraId="16046A0E">
            <w:pPr>
              <w:spacing w:line="360" w:lineRule="auto"/>
              <w:ind w:left="-120" w:leftChars="-50" w:right="-120" w:rightChars="-50"/>
              <w:jc w:val="center"/>
              <w:rPr>
                <w:rFonts w:hint="eastAsia"/>
                <w:color w:val="auto"/>
                <w:sz w:val="24"/>
              </w:rPr>
            </w:pPr>
          </w:p>
        </w:tc>
        <w:tc>
          <w:tcPr>
            <w:tcW w:w="1005" w:type="dxa"/>
            <w:noWrap w:val="0"/>
            <w:vAlign w:val="center"/>
          </w:tcPr>
          <w:p w14:paraId="32D53ADD">
            <w:pPr>
              <w:spacing w:line="360" w:lineRule="auto"/>
              <w:ind w:left="-120" w:leftChars="-50" w:right="-120" w:rightChars="-50"/>
              <w:jc w:val="center"/>
              <w:rPr>
                <w:rFonts w:hint="eastAsia"/>
                <w:color w:val="auto"/>
                <w:sz w:val="24"/>
              </w:rPr>
            </w:pPr>
          </w:p>
        </w:tc>
        <w:tc>
          <w:tcPr>
            <w:tcW w:w="855" w:type="dxa"/>
            <w:noWrap w:val="0"/>
            <w:vAlign w:val="center"/>
          </w:tcPr>
          <w:p w14:paraId="3B9906C0">
            <w:pPr>
              <w:spacing w:line="360" w:lineRule="auto"/>
              <w:ind w:left="-120" w:leftChars="-50" w:right="-120" w:rightChars="-50"/>
              <w:jc w:val="center"/>
              <w:rPr>
                <w:rFonts w:hint="eastAsia"/>
                <w:color w:val="auto"/>
                <w:sz w:val="24"/>
              </w:rPr>
            </w:pPr>
          </w:p>
        </w:tc>
        <w:tc>
          <w:tcPr>
            <w:tcW w:w="1095" w:type="dxa"/>
            <w:noWrap w:val="0"/>
            <w:vAlign w:val="center"/>
          </w:tcPr>
          <w:p w14:paraId="5FDE1078">
            <w:pPr>
              <w:spacing w:line="360" w:lineRule="auto"/>
              <w:ind w:left="-120" w:leftChars="-50" w:right="-120" w:rightChars="-50"/>
              <w:jc w:val="center"/>
              <w:rPr>
                <w:rFonts w:hint="eastAsia"/>
                <w:color w:val="auto"/>
                <w:sz w:val="24"/>
              </w:rPr>
            </w:pPr>
          </w:p>
        </w:tc>
      </w:tr>
      <w:tr w14:paraId="2BB4D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434D893">
            <w:pPr>
              <w:spacing w:line="360" w:lineRule="auto"/>
              <w:ind w:left="-120" w:leftChars="-50" w:right="-120" w:rightChars="-50"/>
              <w:jc w:val="center"/>
              <w:rPr>
                <w:rFonts w:hint="eastAsia"/>
                <w:color w:val="auto"/>
                <w:sz w:val="24"/>
              </w:rPr>
            </w:pPr>
          </w:p>
        </w:tc>
        <w:tc>
          <w:tcPr>
            <w:tcW w:w="1399" w:type="dxa"/>
            <w:noWrap w:val="0"/>
            <w:vAlign w:val="center"/>
          </w:tcPr>
          <w:p w14:paraId="15433ED8">
            <w:pPr>
              <w:spacing w:line="360" w:lineRule="auto"/>
              <w:ind w:left="-120" w:leftChars="-50" w:right="-120" w:rightChars="-50"/>
              <w:jc w:val="center"/>
              <w:rPr>
                <w:rFonts w:hint="eastAsia"/>
                <w:color w:val="auto"/>
                <w:sz w:val="24"/>
              </w:rPr>
            </w:pPr>
          </w:p>
        </w:tc>
        <w:tc>
          <w:tcPr>
            <w:tcW w:w="1311" w:type="dxa"/>
            <w:noWrap w:val="0"/>
            <w:vAlign w:val="center"/>
          </w:tcPr>
          <w:p w14:paraId="5E27DDD4">
            <w:pPr>
              <w:spacing w:line="360" w:lineRule="auto"/>
              <w:ind w:left="-120" w:leftChars="-50" w:right="-120" w:rightChars="-50"/>
              <w:jc w:val="center"/>
              <w:rPr>
                <w:rFonts w:hint="eastAsia"/>
                <w:color w:val="auto"/>
                <w:sz w:val="24"/>
              </w:rPr>
            </w:pPr>
          </w:p>
        </w:tc>
        <w:tc>
          <w:tcPr>
            <w:tcW w:w="964" w:type="dxa"/>
            <w:noWrap w:val="0"/>
            <w:vAlign w:val="center"/>
          </w:tcPr>
          <w:p w14:paraId="2918C380">
            <w:pPr>
              <w:spacing w:line="360" w:lineRule="auto"/>
              <w:ind w:left="-120" w:leftChars="-50" w:right="-120" w:rightChars="-50"/>
              <w:jc w:val="center"/>
              <w:rPr>
                <w:rFonts w:hint="eastAsia"/>
                <w:color w:val="auto"/>
                <w:sz w:val="24"/>
              </w:rPr>
            </w:pPr>
          </w:p>
        </w:tc>
        <w:tc>
          <w:tcPr>
            <w:tcW w:w="1737" w:type="dxa"/>
            <w:noWrap w:val="0"/>
            <w:vAlign w:val="center"/>
          </w:tcPr>
          <w:p w14:paraId="1CBF51AA">
            <w:pPr>
              <w:spacing w:line="360" w:lineRule="auto"/>
              <w:ind w:left="-120" w:leftChars="-50" w:right="-120" w:rightChars="-50"/>
              <w:jc w:val="center"/>
              <w:rPr>
                <w:rFonts w:hint="eastAsia"/>
                <w:color w:val="auto"/>
                <w:sz w:val="24"/>
              </w:rPr>
            </w:pPr>
          </w:p>
        </w:tc>
        <w:tc>
          <w:tcPr>
            <w:tcW w:w="1005" w:type="dxa"/>
            <w:noWrap w:val="0"/>
            <w:vAlign w:val="center"/>
          </w:tcPr>
          <w:p w14:paraId="2302FF61">
            <w:pPr>
              <w:spacing w:line="360" w:lineRule="auto"/>
              <w:ind w:left="-120" w:leftChars="-50" w:right="-120" w:rightChars="-50"/>
              <w:jc w:val="center"/>
              <w:rPr>
                <w:rFonts w:hint="eastAsia"/>
                <w:color w:val="auto"/>
                <w:sz w:val="24"/>
              </w:rPr>
            </w:pPr>
          </w:p>
        </w:tc>
        <w:tc>
          <w:tcPr>
            <w:tcW w:w="855" w:type="dxa"/>
            <w:noWrap w:val="0"/>
            <w:vAlign w:val="center"/>
          </w:tcPr>
          <w:p w14:paraId="05D2DC48">
            <w:pPr>
              <w:spacing w:line="360" w:lineRule="auto"/>
              <w:ind w:left="-120" w:leftChars="-50" w:right="-120" w:rightChars="-50"/>
              <w:jc w:val="center"/>
              <w:rPr>
                <w:rFonts w:hint="eastAsia"/>
                <w:color w:val="auto"/>
                <w:sz w:val="24"/>
              </w:rPr>
            </w:pPr>
          </w:p>
        </w:tc>
        <w:tc>
          <w:tcPr>
            <w:tcW w:w="1095" w:type="dxa"/>
            <w:noWrap w:val="0"/>
            <w:vAlign w:val="center"/>
          </w:tcPr>
          <w:p w14:paraId="5CF932E6">
            <w:pPr>
              <w:spacing w:line="360" w:lineRule="auto"/>
              <w:ind w:left="-120" w:leftChars="-50" w:right="-120" w:rightChars="-50"/>
              <w:jc w:val="center"/>
              <w:rPr>
                <w:rFonts w:hint="eastAsia"/>
                <w:color w:val="auto"/>
                <w:sz w:val="24"/>
              </w:rPr>
            </w:pPr>
          </w:p>
        </w:tc>
      </w:tr>
      <w:tr w14:paraId="401D9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52747DC">
            <w:pPr>
              <w:spacing w:line="360" w:lineRule="auto"/>
              <w:ind w:left="-120" w:leftChars="-50" w:right="-120" w:rightChars="-50"/>
              <w:jc w:val="center"/>
              <w:rPr>
                <w:rFonts w:hint="eastAsia"/>
                <w:color w:val="auto"/>
                <w:sz w:val="24"/>
              </w:rPr>
            </w:pPr>
          </w:p>
        </w:tc>
        <w:tc>
          <w:tcPr>
            <w:tcW w:w="1399" w:type="dxa"/>
            <w:noWrap w:val="0"/>
            <w:vAlign w:val="center"/>
          </w:tcPr>
          <w:p w14:paraId="668B0FE6">
            <w:pPr>
              <w:spacing w:line="360" w:lineRule="auto"/>
              <w:ind w:left="-120" w:leftChars="-50" w:right="-120" w:rightChars="-50"/>
              <w:jc w:val="center"/>
              <w:rPr>
                <w:rFonts w:hint="eastAsia"/>
                <w:color w:val="auto"/>
                <w:sz w:val="24"/>
              </w:rPr>
            </w:pPr>
          </w:p>
        </w:tc>
        <w:tc>
          <w:tcPr>
            <w:tcW w:w="1311" w:type="dxa"/>
            <w:noWrap w:val="0"/>
            <w:vAlign w:val="center"/>
          </w:tcPr>
          <w:p w14:paraId="7FF4BFF7">
            <w:pPr>
              <w:spacing w:line="360" w:lineRule="auto"/>
              <w:ind w:left="-120" w:leftChars="-50" w:right="-120" w:rightChars="-50"/>
              <w:jc w:val="center"/>
              <w:rPr>
                <w:rFonts w:hint="eastAsia"/>
                <w:color w:val="auto"/>
                <w:sz w:val="24"/>
              </w:rPr>
            </w:pPr>
          </w:p>
        </w:tc>
        <w:tc>
          <w:tcPr>
            <w:tcW w:w="964" w:type="dxa"/>
            <w:noWrap w:val="0"/>
            <w:vAlign w:val="center"/>
          </w:tcPr>
          <w:p w14:paraId="39A4A8DF">
            <w:pPr>
              <w:spacing w:line="360" w:lineRule="auto"/>
              <w:ind w:left="-120" w:leftChars="-50" w:right="-120" w:rightChars="-50"/>
              <w:jc w:val="center"/>
              <w:rPr>
                <w:rFonts w:hint="eastAsia"/>
                <w:color w:val="auto"/>
                <w:sz w:val="24"/>
              </w:rPr>
            </w:pPr>
          </w:p>
        </w:tc>
        <w:tc>
          <w:tcPr>
            <w:tcW w:w="1737" w:type="dxa"/>
            <w:noWrap w:val="0"/>
            <w:vAlign w:val="center"/>
          </w:tcPr>
          <w:p w14:paraId="07700BC2">
            <w:pPr>
              <w:spacing w:line="360" w:lineRule="auto"/>
              <w:ind w:left="-120" w:leftChars="-50" w:right="-120" w:rightChars="-50"/>
              <w:jc w:val="center"/>
              <w:rPr>
                <w:rFonts w:hint="eastAsia"/>
                <w:color w:val="auto"/>
                <w:sz w:val="24"/>
              </w:rPr>
            </w:pPr>
          </w:p>
        </w:tc>
        <w:tc>
          <w:tcPr>
            <w:tcW w:w="1005" w:type="dxa"/>
            <w:noWrap w:val="0"/>
            <w:vAlign w:val="center"/>
          </w:tcPr>
          <w:p w14:paraId="771A71E0">
            <w:pPr>
              <w:spacing w:line="360" w:lineRule="auto"/>
              <w:ind w:left="-120" w:leftChars="-50" w:right="-120" w:rightChars="-50"/>
              <w:jc w:val="center"/>
              <w:rPr>
                <w:rFonts w:hint="eastAsia"/>
                <w:color w:val="auto"/>
                <w:sz w:val="24"/>
              </w:rPr>
            </w:pPr>
          </w:p>
        </w:tc>
        <w:tc>
          <w:tcPr>
            <w:tcW w:w="855" w:type="dxa"/>
            <w:noWrap w:val="0"/>
            <w:vAlign w:val="center"/>
          </w:tcPr>
          <w:p w14:paraId="580B4ACB">
            <w:pPr>
              <w:spacing w:line="360" w:lineRule="auto"/>
              <w:ind w:left="-120" w:leftChars="-50" w:right="-120" w:rightChars="-50"/>
              <w:jc w:val="center"/>
              <w:rPr>
                <w:rFonts w:hint="eastAsia"/>
                <w:color w:val="auto"/>
                <w:sz w:val="24"/>
              </w:rPr>
            </w:pPr>
          </w:p>
        </w:tc>
        <w:tc>
          <w:tcPr>
            <w:tcW w:w="1095" w:type="dxa"/>
            <w:noWrap w:val="0"/>
            <w:vAlign w:val="center"/>
          </w:tcPr>
          <w:p w14:paraId="1F0D2500">
            <w:pPr>
              <w:spacing w:line="360" w:lineRule="auto"/>
              <w:ind w:left="-120" w:leftChars="-50" w:right="-120" w:rightChars="-50"/>
              <w:jc w:val="center"/>
              <w:rPr>
                <w:rFonts w:hint="eastAsia"/>
                <w:color w:val="auto"/>
                <w:sz w:val="24"/>
              </w:rPr>
            </w:pPr>
          </w:p>
        </w:tc>
      </w:tr>
      <w:tr w14:paraId="1B068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007504F">
            <w:pPr>
              <w:spacing w:line="360" w:lineRule="auto"/>
              <w:ind w:left="-120" w:leftChars="-50" w:right="-120" w:rightChars="-50"/>
              <w:jc w:val="center"/>
              <w:rPr>
                <w:rFonts w:hint="eastAsia"/>
                <w:color w:val="auto"/>
                <w:sz w:val="24"/>
              </w:rPr>
            </w:pPr>
          </w:p>
        </w:tc>
        <w:tc>
          <w:tcPr>
            <w:tcW w:w="1399" w:type="dxa"/>
            <w:noWrap w:val="0"/>
            <w:vAlign w:val="center"/>
          </w:tcPr>
          <w:p w14:paraId="4749807A">
            <w:pPr>
              <w:spacing w:line="360" w:lineRule="auto"/>
              <w:ind w:left="-120" w:leftChars="-50" w:right="-120" w:rightChars="-50"/>
              <w:jc w:val="center"/>
              <w:rPr>
                <w:rFonts w:hint="eastAsia"/>
                <w:color w:val="auto"/>
                <w:sz w:val="24"/>
              </w:rPr>
            </w:pPr>
          </w:p>
        </w:tc>
        <w:tc>
          <w:tcPr>
            <w:tcW w:w="1311" w:type="dxa"/>
            <w:noWrap w:val="0"/>
            <w:vAlign w:val="center"/>
          </w:tcPr>
          <w:p w14:paraId="7A49A303">
            <w:pPr>
              <w:spacing w:line="360" w:lineRule="auto"/>
              <w:ind w:left="-120" w:leftChars="-50" w:right="-120" w:rightChars="-50"/>
              <w:jc w:val="center"/>
              <w:rPr>
                <w:rFonts w:hint="eastAsia"/>
                <w:color w:val="auto"/>
                <w:sz w:val="24"/>
              </w:rPr>
            </w:pPr>
          </w:p>
        </w:tc>
        <w:tc>
          <w:tcPr>
            <w:tcW w:w="964" w:type="dxa"/>
            <w:noWrap w:val="0"/>
            <w:vAlign w:val="center"/>
          </w:tcPr>
          <w:p w14:paraId="7471E0A1">
            <w:pPr>
              <w:spacing w:line="360" w:lineRule="auto"/>
              <w:ind w:left="-120" w:leftChars="-50" w:right="-120" w:rightChars="-50"/>
              <w:jc w:val="center"/>
              <w:rPr>
                <w:rFonts w:hint="eastAsia"/>
                <w:color w:val="auto"/>
                <w:sz w:val="24"/>
              </w:rPr>
            </w:pPr>
          </w:p>
        </w:tc>
        <w:tc>
          <w:tcPr>
            <w:tcW w:w="1737" w:type="dxa"/>
            <w:noWrap w:val="0"/>
            <w:vAlign w:val="center"/>
          </w:tcPr>
          <w:p w14:paraId="72B31E35">
            <w:pPr>
              <w:spacing w:line="360" w:lineRule="auto"/>
              <w:ind w:left="-120" w:leftChars="-50" w:right="-120" w:rightChars="-50"/>
              <w:jc w:val="center"/>
              <w:rPr>
                <w:rFonts w:hint="eastAsia"/>
                <w:color w:val="auto"/>
                <w:sz w:val="24"/>
              </w:rPr>
            </w:pPr>
          </w:p>
        </w:tc>
        <w:tc>
          <w:tcPr>
            <w:tcW w:w="1005" w:type="dxa"/>
            <w:noWrap w:val="0"/>
            <w:vAlign w:val="center"/>
          </w:tcPr>
          <w:p w14:paraId="41FA7E37">
            <w:pPr>
              <w:spacing w:line="360" w:lineRule="auto"/>
              <w:ind w:left="-120" w:leftChars="-50" w:right="-120" w:rightChars="-50"/>
              <w:jc w:val="center"/>
              <w:rPr>
                <w:rFonts w:hint="eastAsia"/>
                <w:color w:val="auto"/>
                <w:sz w:val="24"/>
              </w:rPr>
            </w:pPr>
          </w:p>
        </w:tc>
        <w:tc>
          <w:tcPr>
            <w:tcW w:w="855" w:type="dxa"/>
            <w:noWrap w:val="0"/>
            <w:vAlign w:val="center"/>
          </w:tcPr>
          <w:p w14:paraId="6FC00AFB">
            <w:pPr>
              <w:spacing w:line="360" w:lineRule="auto"/>
              <w:ind w:left="-120" w:leftChars="-50" w:right="-120" w:rightChars="-50"/>
              <w:jc w:val="center"/>
              <w:rPr>
                <w:rFonts w:hint="eastAsia"/>
                <w:color w:val="auto"/>
                <w:sz w:val="24"/>
              </w:rPr>
            </w:pPr>
          </w:p>
        </w:tc>
        <w:tc>
          <w:tcPr>
            <w:tcW w:w="1095" w:type="dxa"/>
            <w:noWrap w:val="0"/>
            <w:vAlign w:val="center"/>
          </w:tcPr>
          <w:p w14:paraId="5C1154F0">
            <w:pPr>
              <w:spacing w:line="360" w:lineRule="auto"/>
              <w:ind w:left="-120" w:leftChars="-50" w:right="-120" w:rightChars="-50"/>
              <w:jc w:val="center"/>
              <w:rPr>
                <w:rFonts w:hint="eastAsia"/>
                <w:color w:val="auto"/>
                <w:sz w:val="24"/>
              </w:rPr>
            </w:pPr>
          </w:p>
        </w:tc>
      </w:tr>
      <w:tr w14:paraId="69CD5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14A67D78">
            <w:pPr>
              <w:spacing w:line="360" w:lineRule="auto"/>
              <w:ind w:left="-120" w:leftChars="-50" w:right="-120" w:rightChars="-50"/>
              <w:jc w:val="center"/>
              <w:rPr>
                <w:rFonts w:hint="eastAsia"/>
                <w:color w:val="auto"/>
                <w:sz w:val="24"/>
              </w:rPr>
            </w:pPr>
          </w:p>
        </w:tc>
        <w:tc>
          <w:tcPr>
            <w:tcW w:w="1399" w:type="dxa"/>
            <w:noWrap w:val="0"/>
            <w:vAlign w:val="center"/>
          </w:tcPr>
          <w:p w14:paraId="19071076">
            <w:pPr>
              <w:spacing w:line="360" w:lineRule="auto"/>
              <w:ind w:left="-120" w:leftChars="-50" w:right="-120" w:rightChars="-50"/>
              <w:jc w:val="center"/>
              <w:rPr>
                <w:rFonts w:hint="eastAsia"/>
                <w:color w:val="auto"/>
                <w:sz w:val="24"/>
              </w:rPr>
            </w:pPr>
          </w:p>
        </w:tc>
        <w:tc>
          <w:tcPr>
            <w:tcW w:w="1311" w:type="dxa"/>
            <w:noWrap w:val="0"/>
            <w:vAlign w:val="center"/>
          </w:tcPr>
          <w:p w14:paraId="74FD7967">
            <w:pPr>
              <w:spacing w:line="360" w:lineRule="auto"/>
              <w:ind w:left="-120" w:leftChars="-50" w:right="-120" w:rightChars="-50"/>
              <w:jc w:val="center"/>
              <w:rPr>
                <w:rFonts w:hint="eastAsia"/>
                <w:color w:val="auto"/>
                <w:sz w:val="24"/>
              </w:rPr>
            </w:pPr>
          </w:p>
        </w:tc>
        <w:tc>
          <w:tcPr>
            <w:tcW w:w="964" w:type="dxa"/>
            <w:noWrap w:val="0"/>
            <w:vAlign w:val="center"/>
          </w:tcPr>
          <w:p w14:paraId="3DC2E038">
            <w:pPr>
              <w:spacing w:line="360" w:lineRule="auto"/>
              <w:ind w:left="-120" w:leftChars="-50" w:right="-120" w:rightChars="-50"/>
              <w:jc w:val="center"/>
              <w:rPr>
                <w:rFonts w:hint="eastAsia"/>
                <w:color w:val="auto"/>
                <w:sz w:val="24"/>
              </w:rPr>
            </w:pPr>
          </w:p>
        </w:tc>
        <w:tc>
          <w:tcPr>
            <w:tcW w:w="1737" w:type="dxa"/>
            <w:noWrap w:val="0"/>
            <w:vAlign w:val="center"/>
          </w:tcPr>
          <w:p w14:paraId="5757E04F">
            <w:pPr>
              <w:spacing w:line="360" w:lineRule="auto"/>
              <w:ind w:left="-120" w:leftChars="-50" w:right="-120" w:rightChars="-50"/>
              <w:jc w:val="center"/>
              <w:rPr>
                <w:rFonts w:hint="eastAsia"/>
                <w:color w:val="auto"/>
                <w:sz w:val="24"/>
              </w:rPr>
            </w:pPr>
          </w:p>
        </w:tc>
        <w:tc>
          <w:tcPr>
            <w:tcW w:w="1005" w:type="dxa"/>
            <w:noWrap w:val="0"/>
            <w:vAlign w:val="center"/>
          </w:tcPr>
          <w:p w14:paraId="0091AE2F">
            <w:pPr>
              <w:spacing w:line="360" w:lineRule="auto"/>
              <w:ind w:left="-120" w:leftChars="-50" w:right="-120" w:rightChars="-50"/>
              <w:jc w:val="center"/>
              <w:rPr>
                <w:rFonts w:hint="eastAsia"/>
                <w:color w:val="auto"/>
                <w:sz w:val="24"/>
              </w:rPr>
            </w:pPr>
          </w:p>
        </w:tc>
        <w:tc>
          <w:tcPr>
            <w:tcW w:w="855" w:type="dxa"/>
            <w:noWrap w:val="0"/>
            <w:vAlign w:val="center"/>
          </w:tcPr>
          <w:p w14:paraId="0719209E">
            <w:pPr>
              <w:spacing w:line="360" w:lineRule="auto"/>
              <w:ind w:left="-120" w:leftChars="-50" w:right="-120" w:rightChars="-50"/>
              <w:jc w:val="center"/>
              <w:rPr>
                <w:rFonts w:hint="eastAsia"/>
                <w:color w:val="auto"/>
                <w:sz w:val="24"/>
              </w:rPr>
            </w:pPr>
          </w:p>
        </w:tc>
        <w:tc>
          <w:tcPr>
            <w:tcW w:w="1095" w:type="dxa"/>
            <w:noWrap w:val="0"/>
            <w:vAlign w:val="center"/>
          </w:tcPr>
          <w:p w14:paraId="70CF2A81">
            <w:pPr>
              <w:spacing w:line="360" w:lineRule="auto"/>
              <w:ind w:left="-120" w:leftChars="-50" w:right="-120" w:rightChars="-50"/>
              <w:jc w:val="center"/>
              <w:rPr>
                <w:rFonts w:hint="eastAsia"/>
                <w:color w:val="auto"/>
                <w:sz w:val="24"/>
              </w:rPr>
            </w:pPr>
          </w:p>
        </w:tc>
      </w:tr>
    </w:tbl>
    <w:p w14:paraId="374DD541">
      <w:pPr>
        <w:spacing w:line="360" w:lineRule="auto"/>
        <w:rPr>
          <w:rFonts w:hint="eastAsia"/>
          <w:b/>
          <w:color w:val="auto"/>
          <w:sz w:val="24"/>
          <w:highlight w:val="none"/>
          <w:u w:val="single"/>
        </w:rPr>
      </w:pPr>
    </w:p>
    <w:p w14:paraId="44EEC17F">
      <w:pPr>
        <w:rPr>
          <w:b/>
          <w:color w:val="auto"/>
          <w:sz w:val="24"/>
          <w:highlight w:val="none"/>
        </w:rPr>
      </w:pPr>
    </w:p>
    <w:p w14:paraId="2765FA63">
      <w:pPr>
        <w:rPr>
          <w:b/>
          <w:color w:val="auto"/>
          <w:sz w:val="24"/>
          <w:highlight w:val="none"/>
        </w:rPr>
      </w:pPr>
    </w:p>
    <w:p w14:paraId="71F3E2AC">
      <w:pPr>
        <w:rPr>
          <w:b/>
          <w:color w:val="auto"/>
          <w:sz w:val="24"/>
          <w:highlight w:val="none"/>
        </w:rPr>
      </w:pPr>
    </w:p>
    <w:p w14:paraId="2121A388">
      <w:pPr>
        <w:spacing w:line="360" w:lineRule="auto"/>
        <w:rPr>
          <w:rFonts w:hint="eastAsia"/>
          <w:color w:val="auto"/>
          <w:sz w:val="24"/>
          <w:highlight w:val="none"/>
          <w:u w:val="single"/>
        </w:rPr>
      </w:pPr>
      <w:r>
        <w:rPr>
          <w:rFonts w:hint="eastAsia"/>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color w:val="auto"/>
          <w:sz w:val="24"/>
          <w:highlight w:val="none"/>
          <w:u w:val="single"/>
        </w:rPr>
        <w:t xml:space="preserve">                    </w:t>
      </w:r>
    </w:p>
    <w:p w14:paraId="04E3C4E9">
      <w:pPr>
        <w:spacing w:line="360" w:lineRule="auto"/>
        <w:rPr>
          <w:rFonts w:hint="eastAsia"/>
          <w:color w:val="auto"/>
          <w:sz w:val="24"/>
          <w:highlight w:val="none"/>
        </w:rPr>
      </w:pPr>
      <w:r>
        <w:rPr>
          <w:rFonts w:hint="eastAsia"/>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color w:val="auto"/>
          <w:sz w:val="24"/>
          <w:highlight w:val="none"/>
          <w:u w:val="single"/>
        </w:rPr>
        <w:t xml:space="preserve">                            </w:t>
      </w:r>
    </w:p>
    <w:p w14:paraId="2F581F41">
      <w:pPr>
        <w:spacing w:line="360" w:lineRule="auto"/>
        <w:rPr>
          <w:rFonts w:hint="eastAsia"/>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1C5695ED">
      <w:pPr>
        <w:spacing w:line="360" w:lineRule="auto"/>
        <w:rPr>
          <w:rFonts w:hint="eastAsia"/>
          <w:color w:val="auto"/>
          <w:highlight w:val="none"/>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385992"/>
      <w:bookmarkStart w:id="7" w:name="_Toc436410129"/>
      <w:bookmarkStart w:id="8" w:name="_Toc307564880"/>
      <w:bookmarkStart w:id="9" w:name="_Toc436820890"/>
      <w:bookmarkStart w:id="10" w:name="_Toc43640412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0624EF0C"/>
    <w:p w14:paraId="61829765">
      <w:pPr>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00172A27"/>
    <w:rsid w:val="01717F2D"/>
    <w:rsid w:val="01827883"/>
    <w:rsid w:val="01CE7C9F"/>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04822"/>
    <w:rsid w:val="0BD906D8"/>
    <w:rsid w:val="0C5C5151"/>
    <w:rsid w:val="0D477318"/>
    <w:rsid w:val="0D9C32E2"/>
    <w:rsid w:val="0E785EC8"/>
    <w:rsid w:val="0E786213"/>
    <w:rsid w:val="10951792"/>
    <w:rsid w:val="10AD03E0"/>
    <w:rsid w:val="11B56136"/>
    <w:rsid w:val="125007F0"/>
    <w:rsid w:val="13F43496"/>
    <w:rsid w:val="146F2A2B"/>
    <w:rsid w:val="15485AF9"/>
    <w:rsid w:val="15C10516"/>
    <w:rsid w:val="1801317B"/>
    <w:rsid w:val="19625E7D"/>
    <w:rsid w:val="19632FA4"/>
    <w:rsid w:val="1BF95A03"/>
    <w:rsid w:val="1C99656B"/>
    <w:rsid w:val="1DEA3F7C"/>
    <w:rsid w:val="1E65402F"/>
    <w:rsid w:val="1EB73FC7"/>
    <w:rsid w:val="1EE85CAD"/>
    <w:rsid w:val="1FA76CE4"/>
    <w:rsid w:val="1FBD59FB"/>
    <w:rsid w:val="20C462AC"/>
    <w:rsid w:val="21290FCD"/>
    <w:rsid w:val="22396E2A"/>
    <w:rsid w:val="226F5591"/>
    <w:rsid w:val="228951F3"/>
    <w:rsid w:val="22C53AE2"/>
    <w:rsid w:val="22C91CB2"/>
    <w:rsid w:val="23C96270"/>
    <w:rsid w:val="23FC33B7"/>
    <w:rsid w:val="240B1533"/>
    <w:rsid w:val="24290654"/>
    <w:rsid w:val="24D914B5"/>
    <w:rsid w:val="25D85D70"/>
    <w:rsid w:val="26B6725B"/>
    <w:rsid w:val="27906CB2"/>
    <w:rsid w:val="297C0746"/>
    <w:rsid w:val="2B13530D"/>
    <w:rsid w:val="2BBD7DAF"/>
    <w:rsid w:val="2C0C1E12"/>
    <w:rsid w:val="2C2A0560"/>
    <w:rsid w:val="2CBF7373"/>
    <w:rsid w:val="2CE3425D"/>
    <w:rsid w:val="2D9578BA"/>
    <w:rsid w:val="2DBD226E"/>
    <w:rsid w:val="2DBF522F"/>
    <w:rsid w:val="2F3321FA"/>
    <w:rsid w:val="2FCC2ECF"/>
    <w:rsid w:val="31CE7EF6"/>
    <w:rsid w:val="32B07917"/>
    <w:rsid w:val="32C966F3"/>
    <w:rsid w:val="32D30AC8"/>
    <w:rsid w:val="33EC6212"/>
    <w:rsid w:val="34967399"/>
    <w:rsid w:val="3515062E"/>
    <w:rsid w:val="35172E2D"/>
    <w:rsid w:val="38050470"/>
    <w:rsid w:val="380C7903"/>
    <w:rsid w:val="38B67936"/>
    <w:rsid w:val="39243934"/>
    <w:rsid w:val="3A2E433E"/>
    <w:rsid w:val="3AA339EF"/>
    <w:rsid w:val="3AD70E25"/>
    <w:rsid w:val="3B0358FE"/>
    <w:rsid w:val="3B8D43F9"/>
    <w:rsid w:val="3BDE1898"/>
    <w:rsid w:val="3C395948"/>
    <w:rsid w:val="3D123857"/>
    <w:rsid w:val="3D367828"/>
    <w:rsid w:val="3D404AB5"/>
    <w:rsid w:val="3E167975"/>
    <w:rsid w:val="3EAA4EAE"/>
    <w:rsid w:val="3ED16388"/>
    <w:rsid w:val="3F274B77"/>
    <w:rsid w:val="3F9D48D9"/>
    <w:rsid w:val="3FC44420"/>
    <w:rsid w:val="40603802"/>
    <w:rsid w:val="40C64E87"/>
    <w:rsid w:val="40C75713"/>
    <w:rsid w:val="411F667F"/>
    <w:rsid w:val="43A02079"/>
    <w:rsid w:val="44E0245B"/>
    <w:rsid w:val="453204B0"/>
    <w:rsid w:val="45814A41"/>
    <w:rsid w:val="47EE706F"/>
    <w:rsid w:val="48BD345D"/>
    <w:rsid w:val="49406199"/>
    <w:rsid w:val="4A8C159B"/>
    <w:rsid w:val="4ACC3E2B"/>
    <w:rsid w:val="4B332F45"/>
    <w:rsid w:val="4BCE3FFA"/>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50ED7"/>
    <w:rsid w:val="5476694C"/>
    <w:rsid w:val="554E1BE6"/>
    <w:rsid w:val="561438A8"/>
    <w:rsid w:val="565E460B"/>
    <w:rsid w:val="566421A1"/>
    <w:rsid w:val="567C4300"/>
    <w:rsid w:val="56F20776"/>
    <w:rsid w:val="58281544"/>
    <w:rsid w:val="59826A89"/>
    <w:rsid w:val="59E2286B"/>
    <w:rsid w:val="5AEE56F8"/>
    <w:rsid w:val="5BA4146D"/>
    <w:rsid w:val="5BBE7F89"/>
    <w:rsid w:val="5CF86AA8"/>
    <w:rsid w:val="5D146A65"/>
    <w:rsid w:val="5D5042EA"/>
    <w:rsid w:val="5DAA0F2B"/>
    <w:rsid w:val="5E234F1A"/>
    <w:rsid w:val="5ED725C3"/>
    <w:rsid w:val="5FCF7368"/>
    <w:rsid w:val="60490858"/>
    <w:rsid w:val="62230622"/>
    <w:rsid w:val="631174A8"/>
    <w:rsid w:val="643F5E62"/>
    <w:rsid w:val="64E1323D"/>
    <w:rsid w:val="650400BD"/>
    <w:rsid w:val="65CD1276"/>
    <w:rsid w:val="67E50B7E"/>
    <w:rsid w:val="69280027"/>
    <w:rsid w:val="69671797"/>
    <w:rsid w:val="698213A0"/>
    <w:rsid w:val="69DF085B"/>
    <w:rsid w:val="6A8A5DA4"/>
    <w:rsid w:val="6ABE6120"/>
    <w:rsid w:val="6B0B007F"/>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567401"/>
    <w:rsid w:val="7DF9651E"/>
    <w:rsid w:val="7EF61E88"/>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3">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4">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5">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6">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1"/>
    <w:qFormat/>
    <w:uiPriority w:val="0"/>
    <w:rPr>
      <w:rFonts w:ascii="Times New Roman" w:hAnsi="Times New Roman" w:eastAsia="宋体" w:cs="Times New Roman"/>
      <w:sz w:val="28"/>
      <w:szCs w:val="24"/>
    </w:r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3"/>
    <w:qFormat/>
    <w:uiPriority w:val="0"/>
    <w:rPr>
      <w:rFonts w:ascii="Arial" w:hAnsi="Arial" w:eastAsia="黑体" w:cs="Times New Roman"/>
      <w:b/>
      <w:sz w:val="30"/>
    </w:rPr>
  </w:style>
  <w:style w:type="character" w:customStyle="1" w:styleId="23">
    <w:name w:val="标题 3 Char"/>
    <w:link w:val="4"/>
    <w:qFormat/>
    <w:uiPriority w:val="0"/>
    <w:rPr>
      <w:rFonts w:ascii="宋体" w:hAnsi="宋体" w:eastAsia="黑体" w:cs="宋体"/>
      <w:b/>
      <w:kern w:val="2"/>
      <w:sz w:val="28"/>
      <w:szCs w:val="22"/>
    </w:rPr>
  </w:style>
  <w:style w:type="character" w:customStyle="1" w:styleId="24">
    <w:name w:val="标题 1 字符"/>
    <w:basedOn w:val="20"/>
    <w:link w:val="2"/>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7"/>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3"/>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3873</Words>
  <Characters>4074</Characters>
  <Lines>0</Lines>
  <Paragraphs>0</Paragraphs>
  <TotalTime>3</TotalTime>
  <ScaleCrop>false</ScaleCrop>
  <LinksUpToDate>false</LinksUpToDate>
  <CharactersWithSpaces>5744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胖大海</cp:lastModifiedBy>
  <cp:lastPrinted>2023-07-14T09:38:00Z</cp:lastPrinted>
  <dcterms:modified xsi:type="dcterms:W3CDTF">2026-07-08T03:28:13Z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18EFF5C1C3B3487CB29376812A86F423_13</vt:lpwstr>
  </property>
  <property fmtid="{D5CDD505-2E9C-101B-9397-08002B2CF9AE}" pid="4" name="KSOTemplateDocerSaveRecord">
    <vt:lpwstr>eyJoZGlkIjoiNzE3MGUwZmRmNmNlNDY4Y2IxNGJlMGIxNGJmNzRhMzMiLCJ1c2VySWQiOiI3MjUwNDU1MDEifQ==</vt:lpwstr>
  </property>
</Properties>
</file>