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bookmarkEnd w:id="0"/>
    <w:bookmarkEnd w:id="1"/>
    <w:p w14:paraId="4A64F3B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乐至县中医医院外伤冲洗器采购</w:t>
      </w:r>
      <w:r>
        <w:rPr>
          <w:rFonts w:hint="eastAsia" w:ascii="仿宋" w:hAnsi="仿宋" w:eastAsia="仿宋" w:cs="仿宋"/>
          <w:color w:val="000000"/>
          <w:sz w:val="21"/>
          <w:szCs w:val="21"/>
          <w:highlight w:val="none"/>
          <w:lang w:val="en-US" w:eastAsia="zh-CN"/>
        </w:rPr>
        <w:t>项目</w:t>
      </w:r>
    </w:p>
    <w:p w14:paraId="507AA03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color w:val="000000"/>
          <w:sz w:val="21"/>
          <w:szCs w:val="21"/>
          <w:highlight w:val="none"/>
          <w:lang w:val="en-US" w:eastAsia="zh-CN"/>
        </w:rPr>
        <w:t>20000元；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color w:val="000000"/>
          <w:sz w:val="21"/>
          <w:szCs w:val="21"/>
          <w:highlight w:val="none"/>
          <w:lang w:val="en-US" w:eastAsia="zh-CN"/>
        </w:rPr>
        <w:t>20000元</w:t>
      </w:r>
      <w:r>
        <w:rPr>
          <w:rFonts w:hint="eastAsia" w:ascii="仿宋" w:hAnsi="仿宋" w:eastAsia="仿宋" w:cs="仿宋"/>
          <w:color w:val="000000"/>
          <w:sz w:val="21"/>
          <w:szCs w:val="21"/>
          <w:highlight w:val="none"/>
          <w:lang w:eastAsia="zh-CN"/>
        </w:rPr>
        <w:t>。</w:t>
      </w:r>
    </w:p>
    <w:p w14:paraId="329BA8F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lang w:eastAsia="zh-CN"/>
        </w:rPr>
        <w:t>三、项目内容：</w:t>
      </w:r>
    </w:p>
    <w:tbl>
      <w:tblPr>
        <w:tblStyle w:val="18"/>
        <w:tblW w:w="7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232"/>
        <w:gridCol w:w="824"/>
        <w:gridCol w:w="844"/>
        <w:gridCol w:w="1331"/>
        <w:gridCol w:w="1133"/>
      </w:tblGrid>
      <w:tr w14:paraId="004A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C6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F6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C61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CD2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F5D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最高限</w:t>
            </w:r>
            <w:r>
              <w:rPr>
                <w:rFonts w:hint="eastAsia" w:ascii="仿宋" w:hAnsi="仿宋" w:eastAsia="仿宋" w:cs="仿宋"/>
                <w:b/>
                <w:bCs/>
                <w:i w:val="0"/>
                <w:iCs w:val="0"/>
                <w:color w:val="000000"/>
                <w:kern w:val="0"/>
                <w:sz w:val="21"/>
                <w:szCs w:val="21"/>
                <w:u w:val="none"/>
                <w:lang w:val="en-US" w:eastAsia="zh-CN" w:bidi="ar"/>
              </w:rPr>
              <w:t>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A3A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14:paraId="12E8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8F4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25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eastAsia="zh-CN"/>
              </w:rPr>
              <w:t>外伤冲洗器</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7C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val="en-US" w:eastAsia="zh-CN"/>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10F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0A7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20</w:t>
            </w:r>
            <w:r>
              <w:rPr>
                <w:rFonts w:hint="eastAsia" w:ascii="仿宋" w:hAnsi="仿宋" w:eastAsia="仿宋" w:cs="仿宋"/>
                <w:i w:val="0"/>
                <w:iCs w:val="0"/>
                <w:color w:val="auto"/>
                <w:kern w:val="0"/>
                <w:sz w:val="21"/>
                <w:szCs w:val="21"/>
                <w:highlight w:val="none"/>
                <w:u w:val="none"/>
                <w:lang w:val="en-US" w:eastAsia="zh-CN" w:bidi="ar"/>
              </w:rPr>
              <w:t>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A2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20</w:t>
            </w:r>
            <w:r>
              <w:rPr>
                <w:rFonts w:hint="eastAsia" w:ascii="仿宋" w:hAnsi="仿宋" w:eastAsia="仿宋" w:cs="仿宋"/>
                <w:i w:val="0"/>
                <w:iCs w:val="0"/>
                <w:color w:val="auto"/>
                <w:kern w:val="0"/>
                <w:sz w:val="21"/>
                <w:szCs w:val="21"/>
                <w:highlight w:val="none"/>
                <w:u w:val="none"/>
                <w:lang w:val="en-US" w:eastAsia="zh-CN" w:bidi="ar"/>
              </w:rPr>
              <w:t>000</w:t>
            </w:r>
          </w:p>
        </w:tc>
      </w:tr>
    </w:tbl>
    <w:p w14:paraId="6A50FE23">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6F74854B">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 外壳尺寸：长535mm，宽88mm，高331mm，+/-20mm</w:t>
      </w:r>
    </w:p>
    <w:p w14:paraId="5186D60E">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 水管尺寸：长度≥150CM；内径：大6mm，小4mm，偏差不大于±5%</w:t>
      </w:r>
      <w:r>
        <w:rPr>
          <w:rFonts w:hint="eastAsia" w:ascii="仿宋" w:hAnsi="仿宋" w:eastAsia="仿宋" w:cs="仿宋"/>
          <w:color w:val="000000"/>
          <w:sz w:val="21"/>
          <w:szCs w:val="21"/>
          <w:highlight w:val="none"/>
          <w:lang w:val="en-US" w:eastAsia="zh-CN"/>
        </w:rPr>
        <w:tab/>
      </w:r>
    </w:p>
    <w:p w14:paraId="3E04ED49">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3.出水口口径＜0.5cm</w:t>
      </w:r>
    </w:p>
    <w:p w14:paraId="79E801B1">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4.出水口压力(加压)6～12 psi，允差±5%</w:t>
      </w:r>
    </w:p>
    <w:p w14:paraId="4B6F0AF4">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5.电源220V，50Hz</w:t>
      </w:r>
      <w:r>
        <w:rPr>
          <w:rFonts w:hint="eastAsia" w:ascii="仿宋" w:hAnsi="仿宋" w:eastAsia="仿宋" w:cs="仿宋"/>
          <w:color w:val="000000"/>
          <w:sz w:val="21"/>
          <w:szCs w:val="21"/>
          <w:highlight w:val="none"/>
          <w:lang w:val="en-US" w:eastAsia="zh-CN"/>
        </w:rPr>
        <w:tab/>
      </w:r>
    </w:p>
    <w:p w14:paraId="07186018">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 输入功率≥3500VA</w:t>
      </w:r>
      <w:r>
        <w:rPr>
          <w:rFonts w:hint="eastAsia" w:ascii="仿宋" w:hAnsi="仿宋" w:eastAsia="仿宋" w:cs="仿宋"/>
          <w:color w:val="000000"/>
          <w:sz w:val="21"/>
          <w:szCs w:val="21"/>
          <w:highlight w:val="none"/>
          <w:lang w:val="en-US" w:eastAsia="zh-CN"/>
        </w:rPr>
        <w:tab/>
      </w:r>
    </w:p>
    <w:p w14:paraId="6880066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 出水温度30℃～40℃，允差±1℃可设定</w:t>
      </w:r>
    </w:p>
    <w:p w14:paraId="5578B526">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8.▲ 清水流量调节阀：0.8L/min～2.0L/min，允差±0.4L/min</w:t>
      </w:r>
      <w:r>
        <w:rPr>
          <w:rFonts w:hint="eastAsia" w:ascii="仿宋" w:hAnsi="仿宋" w:eastAsia="仿宋" w:cs="仿宋"/>
          <w:color w:val="000000"/>
          <w:sz w:val="21"/>
          <w:szCs w:val="21"/>
          <w:highlight w:val="none"/>
          <w:lang w:val="en-US" w:eastAsia="zh-CN"/>
        </w:rPr>
        <w:tab/>
      </w:r>
    </w:p>
    <w:p w14:paraId="03D0980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9.清水扬程：1档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20cm,允差±5cm</w:t>
      </w:r>
      <w:r>
        <w:rPr>
          <w:rFonts w:hint="eastAsia" w:ascii="仿宋" w:hAnsi="仿宋" w:eastAsia="仿宋" w:cs="仿宋"/>
          <w:color w:val="000000"/>
          <w:sz w:val="21"/>
          <w:szCs w:val="21"/>
          <w:highlight w:val="none"/>
          <w:lang w:val="en-US" w:eastAsia="zh-CN"/>
        </w:rPr>
        <w:tab/>
      </w:r>
    </w:p>
    <w:p w14:paraId="1E1C5690">
      <w:pPr>
        <w:keepNext w:val="0"/>
        <w:keepLines w:val="0"/>
        <w:pageBreakBefore w:val="0"/>
        <w:widowControl w:val="0"/>
        <w:kinsoku/>
        <w:wordWrap/>
        <w:overflowPunct/>
        <w:topLinePunct w:val="0"/>
        <w:autoSpaceDE/>
        <w:autoSpaceDN/>
        <w:bidi w:val="0"/>
        <w:adjustRightInd/>
        <w:snapToGrid/>
        <w:spacing w:line="360" w:lineRule="atLeast"/>
        <w:ind w:firstLine="1680" w:firstLineChars="8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35cm,允差±10cm</w:t>
      </w:r>
      <w:r>
        <w:rPr>
          <w:rFonts w:hint="eastAsia" w:ascii="仿宋" w:hAnsi="仿宋" w:eastAsia="仿宋" w:cs="仿宋"/>
          <w:color w:val="000000"/>
          <w:sz w:val="21"/>
          <w:szCs w:val="21"/>
          <w:highlight w:val="none"/>
          <w:lang w:val="en-US" w:eastAsia="zh-CN"/>
        </w:rPr>
        <w:tab/>
      </w:r>
    </w:p>
    <w:p w14:paraId="793C78B7">
      <w:pPr>
        <w:keepNext w:val="0"/>
        <w:keepLines w:val="0"/>
        <w:pageBreakBefore w:val="0"/>
        <w:widowControl w:val="0"/>
        <w:kinsoku/>
        <w:wordWrap/>
        <w:overflowPunct/>
        <w:topLinePunct w:val="0"/>
        <w:autoSpaceDE/>
        <w:autoSpaceDN/>
        <w:bidi w:val="0"/>
        <w:adjustRightInd/>
        <w:snapToGrid/>
        <w:spacing w:line="360" w:lineRule="atLeast"/>
        <w:ind w:firstLine="1680" w:firstLineChars="8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100cm，允差±15cm</w:t>
      </w:r>
      <w:r>
        <w:rPr>
          <w:rFonts w:hint="eastAsia" w:ascii="仿宋" w:hAnsi="仿宋" w:eastAsia="仿宋" w:cs="仿宋"/>
          <w:color w:val="000000"/>
          <w:sz w:val="21"/>
          <w:szCs w:val="21"/>
          <w:highlight w:val="none"/>
          <w:lang w:val="en-US" w:eastAsia="zh-CN"/>
        </w:rPr>
        <w:tab/>
      </w:r>
    </w:p>
    <w:p w14:paraId="1B12E4D7">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10.▲ 清洗液流量（水压）550 mL/min～700mL/min</w:t>
      </w:r>
      <w:r>
        <w:rPr>
          <w:rFonts w:hint="eastAsia" w:ascii="仿宋" w:hAnsi="仿宋" w:eastAsia="仿宋" w:cs="仿宋"/>
          <w:color w:val="000000"/>
          <w:sz w:val="21"/>
          <w:szCs w:val="21"/>
          <w:highlight w:val="none"/>
          <w:lang w:val="en-US" w:eastAsia="zh-CN"/>
        </w:rPr>
        <w:tab/>
      </w:r>
    </w:p>
    <w:p w14:paraId="31851C4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11.清洗液扬程： 1档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40cm,允差±5cm</w:t>
      </w:r>
      <w:r>
        <w:rPr>
          <w:rFonts w:hint="eastAsia" w:ascii="仿宋" w:hAnsi="仿宋" w:eastAsia="仿宋" w:cs="仿宋"/>
          <w:color w:val="000000"/>
          <w:sz w:val="21"/>
          <w:szCs w:val="21"/>
          <w:highlight w:val="none"/>
          <w:lang w:val="en-US" w:eastAsia="zh-CN"/>
        </w:rPr>
        <w:tab/>
      </w:r>
    </w:p>
    <w:p w14:paraId="2F3356E0">
      <w:pPr>
        <w:keepNext w:val="0"/>
        <w:keepLines w:val="0"/>
        <w:pageBreakBefore w:val="0"/>
        <w:widowControl w:val="0"/>
        <w:kinsoku/>
        <w:wordWrap/>
        <w:overflowPunct/>
        <w:topLinePunct w:val="0"/>
        <w:autoSpaceDE/>
        <w:autoSpaceDN/>
        <w:bidi w:val="0"/>
        <w:adjustRightInd/>
        <w:snapToGrid/>
        <w:spacing w:line="360" w:lineRule="atLeast"/>
        <w:ind w:firstLine="2100" w:firstLineChars="10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60cm,允差±10cm</w:t>
      </w:r>
      <w:r>
        <w:rPr>
          <w:rFonts w:hint="eastAsia" w:ascii="仿宋" w:hAnsi="仿宋" w:eastAsia="仿宋" w:cs="仿宋"/>
          <w:color w:val="000000"/>
          <w:sz w:val="21"/>
          <w:szCs w:val="21"/>
          <w:highlight w:val="none"/>
          <w:lang w:val="en-US" w:eastAsia="zh-CN"/>
        </w:rPr>
        <w:tab/>
      </w:r>
    </w:p>
    <w:p w14:paraId="539C4B98">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 xml:space="preserve">    3档</w:t>
      </w:r>
      <w:r>
        <w:rPr>
          <w:rFonts w:hint="eastAsia" w:ascii="仿宋" w:hAnsi="仿宋" w:eastAsia="仿宋" w:cs="仿宋"/>
          <w:color w:val="000000"/>
          <w:sz w:val="21"/>
          <w:szCs w:val="21"/>
          <w:highlight w:val="none"/>
          <w:lang w:val="en-US" w:eastAsia="zh-CN"/>
        </w:rPr>
        <w:tab/>
      </w:r>
      <w:r>
        <w:rPr>
          <w:rFonts w:hint="eastAsia" w:ascii="仿宋" w:hAnsi="仿宋" w:eastAsia="仿宋" w:cs="仿宋"/>
          <w:color w:val="000000"/>
          <w:sz w:val="21"/>
          <w:szCs w:val="21"/>
          <w:highlight w:val="none"/>
          <w:lang w:val="en-US" w:eastAsia="zh-CN"/>
        </w:rPr>
        <w:t>145cm，允差±15cm</w:t>
      </w:r>
      <w:r>
        <w:rPr>
          <w:rFonts w:hint="eastAsia" w:ascii="仿宋" w:hAnsi="仿宋" w:eastAsia="仿宋" w:cs="仿宋"/>
          <w:color w:val="000000"/>
          <w:sz w:val="21"/>
          <w:szCs w:val="21"/>
          <w:highlight w:val="none"/>
          <w:lang w:val="en-US" w:eastAsia="zh-CN"/>
        </w:rPr>
        <w:tab/>
      </w:r>
    </w:p>
    <w:p w14:paraId="50A3EFA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12.▲ 周期运行时间＞15min，一次完整的自动模式冲洗时间</w:t>
      </w:r>
    </w:p>
    <w:p w14:paraId="1D6BDD8D">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13.按电击防护分类Ⅰ类设备</w:t>
      </w:r>
      <w:r>
        <w:rPr>
          <w:rFonts w:hint="eastAsia" w:ascii="仿宋" w:hAnsi="仿宋" w:eastAsia="仿宋" w:cs="仿宋"/>
          <w:color w:val="000000"/>
          <w:sz w:val="21"/>
          <w:szCs w:val="21"/>
          <w:highlight w:val="none"/>
          <w:lang w:val="en-US" w:eastAsia="zh-CN"/>
        </w:rPr>
        <w:tab/>
      </w:r>
    </w:p>
    <w:p w14:paraId="7C7EF56F">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14.按防电击的程度分类B型应用部分（清洗枪）</w:t>
      </w:r>
      <w:r>
        <w:rPr>
          <w:rFonts w:hint="eastAsia" w:ascii="仿宋" w:hAnsi="仿宋" w:eastAsia="仿宋" w:cs="仿宋"/>
          <w:color w:val="000000"/>
          <w:sz w:val="21"/>
          <w:szCs w:val="21"/>
          <w:highlight w:val="none"/>
          <w:lang w:val="en-US" w:eastAsia="zh-CN"/>
        </w:rPr>
        <w:tab/>
      </w:r>
    </w:p>
    <w:p w14:paraId="14A049DE">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15.按对进液的防护程度分类IPX0</w:t>
      </w:r>
      <w:r>
        <w:rPr>
          <w:rFonts w:hint="eastAsia" w:ascii="仿宋" w:hAnsi="仿宋" w:eastAsia="仿宋" w:cs="仿宋"/>
          <w:color w:val="000000"/>
          <w:sz w:val="21"/>
          <w:szCs w:val="21"/>
          <w:highlight w:val="none"/>
          <w:lang w:val="en-US" w:eastAsia="zh-CN"/>
        </w:rPr>
        <w:tab/>
      </w:r>
    </w:p>
    <w:p w14:paraId="07764F0B">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16.工作模式： 1）自动清洗模式：洗液和清水交替清洗；</w:t>
      </w:r>
    </w:p>
    <w:p w14:paraId="01A6F4E7">
      <w:pPr>
        <w:keepNext w:val="0"/>
        <w:keepLines w:val="0"/>
        <w:pageBreakBefore w:val="0"/>
        <w:widowControl w:val="0"/>
        <w:kinsoku/>
        <w:wordWrap/>
        <w:overflowPunct/>
        <w:topLinePunct w:val="0"/>
        <w:autoSpaceDE/>
        <w:autoSpaceDN/>
        <w:bidi w:val="0"/>
        <w:adjustRightInd/>
        <w:snapToGrid/>
        <w:spacing w:line="360" w:lineRule="atLeast"/>
        <w:ind w:firstLine="1890" w:firstLineChars="9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2）手动洗液冲洗模式；</w:t>
      </w:r>
    </w:p>
    <w:p w14:paraId="2803297C">
      <w:pPr>
        <w:keepNext w:val="0"/>
        <w:keepLines w:val="0"/>
        <w:pageBreakBefore w:val="0"/>
        <w:widowControl w:val="0"/>
        <w:kinsoku/>
        <w:wordWrap/>
        <w:overflowPunct/>
        <w:topLinePunct w:val="0"/>
        <w:autoSpaceDE/>
        <w:autoSpaceDN/>
        <w:bidi w:val="0"/>
        <w:adjustRightInd/>
        <w:snapToGrid/>
        <w:spacing w:line="360" w:lineRule="atLeast"/>
        <w:ind w:firstLine="1890" w:firstLineChars="9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3）手动清水冲洗模式；</w:t>
      </w:r>
    </w:p>
    <w:p w14:paraId="148F1C77">
      <w:pPr>
        <w:keepNext w:val="0"/>
        <w:keepLines w:val="0"/>
        <w:pageBreakBefore w:val="0"/>
        <w:widowControl w:val="0"/>
        <w:kinsoku/>
        <w:wordWrap/>
        <w:overflowPunct/>
        <w:topLinePunct w:val="0"/>
        <w:autoSpaceDE/>
        <w:autoSpaceDN/>
        <w:bidi w:val="0"/>
        <w:adjustRightInd/>
        <w:snapToGrid/>
        <w:spacing w:line="360" w:lineRule="atLeast"/>
        <w:ind w:firstLine="1890" w:firstLineChars="9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4）冲洗过程中，可选择暂停/开始。</w:t>
      </w:r>
    </w:p>
    <w:p w14:paraId="51D11B13">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17.水枪支架：万向水枪支架，支持多角度旋转，方便患者冲洗</w:t>
      </w:r>
    </w:p>
    <w:p w14:paraId="75A68967">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18.▲有扫码器，可支持扫码溯源。</w:t>
      </w:r>
    </w:p>
    <w:p w14:paraId="18D1FC0A">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19.雾化功能：可选配雾化喷头。</w:t>
      </w:r>
    </w:p>
    <w:p w14:paraId="6888322A">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 脉冲效果：液体冲洗时液流有脉冲效果。</w:t>
      </w:r>
    </w:p>
    <w:p w14:paraId="512002C6">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(▲号技术参数为重要技术参数，需提供产品说明书、注册证或第三方检验报告证明)</w:t>
      </w:r>
    </w:p>
    <w:p w14:paraId="7363DBD2">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6C4E99D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（一）履约时间和地点</w:t>
      </w:r>
    </w:p>
    <w:p w14:paraId="351A9CC4">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1.履约时间:自合同签订之日起20日。</w:t>
      </w:r>
    </w:p>
    <w:p w14:paraId="346BB569">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68024F4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售后服务</w:t>
      </w:r>
    </w:p>
    <w:p w14:paraId="6199C94D">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质保期为验收合格后</w:t>
      </w:r>
      <w:r>
        <w:rPr>
          <w:rFonts w:hint="eastAsia" w:ascii="仿宋" w:hAnsi="仿宋" w:cs="仿宋"/>
          <w:bCs/>
          <w:color w:val="000000" w:themeColor="text1"/>
          <w:sz w:val="21"/>
          <w:szCs w:val="21"/>
          <w:lang w:val="en-US" w:eastAsia="zh-CN"/>
          <w14:textFill>
            <w14:solidFill>
              <w14:schemeClr w14:val="tx1"/>
            </w14:solidFill>
          </w14:textFill>
        </w:rPr>
        <w:t>一</w:t>
      </w:r>
      <w:r>
        <w:rPr>
          <w:rFonts w:hint="default" w:ascii="仿宋" w:hAnsi="仿宋" w:cs="仿宋"/>
          <w:bCs/>
          <w:color w:val="000000" w:themeColor="text1"/>
          <w:sz w:val="21"/>
          <w:szCs w:val="21"/>
          <w:lang w:val="en-US" w:eastAsia="zh-CN"/>
          <w14:textFill>
            <w14:solidFill>
              <w14:schemeClr w14:val="tx1"/>
            </w14:solidFill>
          </w14:textFill>
        </w:rPr>
        <w:t>年，质保期内出现质量问题，</w:t>
      </w:r>
      <w:r>
        <w:rPr>
          <w:rFonts w:hint="eastAsia" w:ascii="仿宋" w:hAnsi="仿宋" w:cs="仿宋"/>
          <w:bCs/>
          <w:color w:val="000000" w:themeColor="text1"/>
          <w:sz w:val="21"/>
          <w:szCs w:val="21"/>
          <w:lang w:val="en-US" w:eastAsia="zh-CN"/>
          <w14:textFill>
            <w14:solidFill>
              <w14:schemeClr w14:val="tx1"/>
            </w14:solidFill>
          </w14:textFill>
        </w:rPr>
        <w:t>成交供应商应</w:t>
      </w:r>
      <w:r>
        <w:rPr>
          <w:rFonts w:hint="default" w:ascii="仿宋" w:hAnsi="仿宋" w:cs="仿宋"/>
          <w:bCs/>
          <w:color w:val="000000" w:themeColor="text1"/>
          <w:sz w:val="21"/>
          <w:szCs w:val="21"/>
          <w:lang w:val="en-US" w:eastAsia="zh-CN"/>
          <w14:textFill>
            <w14:solidFill>
              <w14:schemeClr w14:val="tx1"/>
            </w14:solidFill>
          </w14:textFill>
        </w:rPr>
        <w:t>在接到通知后</w:t>
      </w:r>
      <w:r>
        <w:rPr>
          <w:rFonts w:hint="eastAsia" w:ascii="仿宋" w:hAnsi="仿宋" w:cs="仿宋"/>
          <w:bCs/>
          <w:color w:val="000000" w:themeColor="text1"/>
          <w:sz w:val="21"/>
          <w:szCs w:val="21"/>
          <w:lang w:val="en-US" w:eastAsia="zh-CN"/>
          <w14:textFill>
            <w14:solidFill>
              <w14:schemeClr w14:val="tx1"/>
            </w14:solidFill>
          </w14:textFill>
        </w:rPr>
        <w:t>指定时间</w:t>
      </w:r>
      <w:r>
        <w:rPr>
          <w:rFonts w:hint="default" w:ascii="仿宋" w:hAnsi="仿宋" w:cs="仿宋"/>
          <w:bCs/>
          <w:color w:val="000000" w:themeColor="text1"/>
          <w:sz w:val="21"/>
          <w:szCs w:val="21"/>
          <w:lang w:val="en-US" w:eastAsia="zh-CN"/>
          <w14:textFill>
            <w14:solidFill>
              <w14:schemeClr w14:val="tx1"/>
            </w14:solidFill>
          </w14:textFill>
        </w:rPr>
        <w:t>内响应到场，完成维修或更换，并承担修理或更换的费用。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四</w:t>
      </w:r>
      <w:r>
        <w:rPr>
          <w:rFonts w:hint="default" w:ascii="仿宋" w:hAnsi="仿宋" w:eastAsia="仿宋" w:cs="仿宋"/>
          <w:b/>
          <w:bCs/>
          <w:i w:val="0"/>
          <w:iCs w:val="0"/>
          <w:color w:val="000000"/>
          <w:kern w:val="0"/>
          <w:sz w:val="21"/>
          <w:szCs w:val="21"/>
          <w:u w:val="none"/>
          <w:lang w:val="en-US" w:eastAsia="zh-CN" w:bidi="ar"/>
        </w:rPr>
        <w:t>）付款方式</w:t>
      </w:r>
      <w:bookmarkStart w:id="12" w:name="_GoBack"/>
      <w:bookmarkEnd w:id="12"/>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0FEE4FB">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1CBB9A44">
      <w:pPr>
        <w:rPr>
          <w:rFonts w:hint="default"/>
          <w:lang w:val="en-US" w:eastAsia="zh-CN"/>
        </w:rPr>
      </w:pPr>
      <w:r>
        <w:rPr>
          <w:rFonts w:hint="default"/>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u w:val="single"/>
          <w:lang w:val="en-US" w:eastAsia="zh-CN"/>
        </w:rPr>
        <w:t>/</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56EB2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466D645E">
            <w:pPr>
              <w:spacing w:line="360" w:lineRule="auto"/>
              <w:ind w:left="-120" w:leftChars="-50" w:right="-120" w:rightChars="-50"/>
              <w:jc w:val="center"/>
              <w:rPr>
                <w:rFonts w:hint="eastAsia"/>
                <w:color w:val="auto"/>
                <w:sz w:val="24"/>
              </w:rPr>
            </w:pPr>
          </w:p>
        </w:tc>
        <w:tc>
          <w:tcPr>
            <w:tcW w:w="1282" w:type="dxa"/>
            <w:noWrap w:val="0"/>
            <w:vAlign w:val="center"/>
          </w:tcPr>
          <w:p w14:paraId="4C5C49AB">
            <w:pPr>
              <w:spacing w:line="360" w:lineRule="auto"/>
              <w:ind w:left="-120" w:leftChars="-50" w:right="-120" w:rightChars="-50"/>
              <w:jc w:val="center"/>
              <w:rPr>
                <w:rFonts w:hint="eastAsia"/>
                <w:color w:val="auto"/>
                <w:sz w:val="24"/>
              </w:rPr>
            </w:pPr>
          </w:p>
        </w:tc>
        <w:tc>
          <w:tcPr>
            <w:tcW w:w="1425" w:type="dxa"/>
            <w:noWrap w:val="0"/>
            <w:vAlign w:val="center"/>
          </w:tcPr>
          <w:p w14:paraId="40E9B40C">
            <w:pPr>
              <w:spacing w:line="360" w:lineRule="auto"/>
              <w:ind w:left="-120" w:leftChars="-50" w:right="-120" w:rightChars="-50"/>
              <w:jc w:val="center"/>
              <w:rPr>
                <w:rFonts w:hint="eastAsia"/>
                <w:color w:val="auto"/>
                <w:sz w:val="24"/>
              </w:rPr>
            </w:pPr>
          </w:p>
        </w:tc>
        <w:tc>
          <w:tcPr>
            <w:tcW w:w="713" w:type="dxa"/>
            <w:noWrap w:val="0"/>
            <w:vAlign w:val="center"/>
          </w:tcPr>
          <w:p w14:paraId="652CE5EC">
            <w:pPr>
              <w:spacing w:line="360" w:lineRule="auto"/>
              <w:ind w:left="-120" w:leftChars="-50" w:right="-120" w:rightChars="-50"/>
              <w:jc w:val="center"/>
              <w:rPr>
                <w:rFonts w:hint="eastAsia"/>
                <w:color w:val="auto"/>
                <w:sz w:val="24"/>
              </w:rPr>
            </w:pPr>
          </w:p>
        </w:tc>
        <w:tc>
          <w:tcPr>
            <w:tcW w:w="1283" w:type="dxa"/>
            <w:noWrap w:val="0"/>
            <w:vAlign w:val="center"/>
          </w:tcPr>
          <w:p w14:paraId="7E651539">
            <w:pPr>
              <w:spacing w:line="360" w:lineRule="auto"/>
              <w:ind w:left="-120" w:leftChars="-50" w:right="-120" w:rightChars="-50"/>
              <w:jc w:val="center"/>
              <w:rPr>
                <w:rFonts w:hint="eastAsia"/>
                <w:color w:val="auto"/>
                <w:sz w:val="24"/>
              </w:rPr>
            </w:pPr>
          </w:p>
        </w:tc>
        <w:tc>
          <w:tcPr>
            <w:tcW w:w="1568" w:type="dxa"/>
            <w:noWrap w:val="0"/>
            <w:vAlign w:val="center"/>
          </w:tcPr>
          <w:p w14:paraId="763309CB">
            <w:pPr>
              <w:spacing w:line="360" w:lineRule="auto"/>
              <w:ind w:left="-120" w:leftChars="-50" w:right="-120" w:rightChars="-50"/>
              <w:jc w:val="center"/>
              <w:rPr>
                <w:rFonts w:hint="eastAsia"/>
                <w:color w:val="auto"/>
                <w:sz w:val="24"/>
              </w:rPr>
            </w:pPr>
          </w:p>
        </w:tc>
        <w:tc>
          <w:tcPr>
            <w:tcW w:w="998" w:type="dxa"/>
            <w:noWrap w:val="0"/>
            <w:vAlign w:val="center"/>
          </w:tcPr>
          <w:p w14:paraId="649A1944">
            <w:pPr>
              <w:spacing w:line="360" w:lineRule="auto"/>
              <w:ind w:left="-120" w:leftChars="-50" w:right="-120" w:rightChars="-50"/>
              <w:jc w:val="center"/>
              <w:rPr>
                <w:rFonts w:hint="eastAsia"/>
                <w:color w:val="auto"/>
                <w:sz w:val="24"/>
              </w:rPr>
            </w:pPr>
          </w:p>
        </w:tc>
        <w:tc>
          <w:tcPr>
            <w:tcW w:w="998" w:type="dxa"/>
            <w:noWrap w:val="0"/>
            <w:vAlign w:val="center"/>
          </w:tcPr>
          <w:p w14:paraId="27C52D38">
            <w:pPr>
              <w:spacing w:line="360" w:lineRule="auto"/>
              <w:ind w:left="-120" w:leftChars="-50" w:right="-120" w:rightChars="-50"/>
              <w:jc w:val="center"/>
              <w:rPr>
                <w:rFonts w:hint="eastAsia"/>
                <w:color w:val="auto"/>
                <w:sz w:val="24"/>
              </w:rPr>
            </w:pPr>
          </w:p>
        </w:tc>
        <w:tc>
          <w:tcPr>
            <w:tcW w:w="793" w:type="dxa"/>
            <w:noWrap w:val="0"/>
            <w:vAlign w:val="center"/>
          </w:tcPr>
          <w:p w14:paraId="325F5689">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5396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84695A">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2ECDE041">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14:paraId="1180D56F">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14:paraId="5EF26651">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32C3B0A1">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5732AD46">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14:paraId="401EBCE7">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14:paraId="15C667FA">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59D1CAB7">
            <w:pPr>
              <w:ind w:left="-120" w:leftChars="-50" w:right="-120" w:rightChars="-50"/>
              <w:jc w:val="center"/>
              <w:rPr>
                <w:rFonts w:hint="eastAsia"/>
                <w:b/>
                <w:color w:val="auto"/>
                <w:sz w:val="24"/>
              </w:rPr>
            </w:pPr>
            <w:r>
              <w:rPr>
                <w:rFonts w:hint="eastAsia"/>
                <w:b/>
                <w:color w:val="auto"/>
                <w:sz w:val="24"/>
              </w:rPr>
              <w:t>备注</w:t>
            </w:r>
          </w:p>
        </w:tc>
      </w:tr>
      <w:tr w14:paraId="1575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48077BD">
            <w:pPr>
              <w:spacing w:line="360" w:lineRule="auto"/>
              <w:ind w:left="-120" w:leftChars="-50" w:right="-120" w:rightChars="-50"/>
              <w:jc w:val="center"/>
              <w:rPr>
                <w:rFonts w:hint="eastAsia"/>
                <w:color w:val="auto"/>
                <w:sz w:val="24"/>
              </w:rPr>
            </w:pPr>
          </w:p>
        </w:tc>
        <w:tc>
          <w:tcPr>
            <w:tcW w:w="1282" w:type="dxa"/>
            <w:noWrap w:val="0"/>
            <w:vAlign w:val="center"/>
          </w:tcPr>
          <w:p w14:paraId="68326329">
            <w:pPr>
              <w:spacing w:line="360" w:lineRule="auto"/>
              <w:ind w:left="-120" w:leftChars="-50" w:right="-120" w:rightChars="-50"/>
              <w:jc w:val="center"/>
              <w:rPr>
                <w:rFonts w:hint="eastAsia"/>
                <w:color w:val="auto"/>
                <w:sz w:val="24"/>
              </w:rPr>
            </w:pPr>
          </w:p>
        </w:tc>
        <w:tc>
          <w:tcPr>
            <w:tcW w:w="1425" w:type="dxa"/>
            <w:noWrap w:val="0"/>
            <w:vAlign w:val="center"/>
          </w:tcPr>
          <w:p w14:paraId="333FBCA3">
            <w:pPr>
              <w:spacing w:line="360" w:lineRule="auto"/>
              <w:ind w:left="-120" w:leftChars="-50" w:right="-120" w:rightChars="-50"/>
              <w:jc w:val="center"/>
              <w:rPr>
                <w:rFonts w:hint="eastAsia"/>
                <w:color w:val="auto"/>
                <w:sz w:val="24"/>
              </w:rPr>
            </w:pPr>
          </w:p>
        </w:tc>
        <w:tc>
          <w:tcPr>
            <w:tcW w:w="713" w:type="dxa"/>
            <w:noWrap w:val="0"/>
            <w:vAlign w:val="center"/>
          </w:tcPr>
          <w:p w14:paraId="4D04C1E2">
            <w:pPr>
              <w:spacing w:line="360" w:lineRule="auto"/>
              <w:ind w:left="-120" w:leftChars="-50" w:right="-120" w:rightChars="-50"/>
              <w:jc w:val="center"/>
              <w:rPr>
                <w:rFonts w:hint="eastAsia"/>
                <w:color w:val="auto"/>
                <w:sz w:val="24"/>
              </w:rPr>
            </w:pPr>
          </w:p>
        </w:tc>
        <w:tc>
          <w:tcPr>
            <w:tcW w:w="1283" w:type="dxa"/>
            <w:noWrap w:val="0"/>
            <w:vAlign w:val="center"/>
          </w:tcPr>
          <w:p w14:paraId="184CB2FA">
            <w:pPr>
              <w:spacing w:line="360" w:lineRule="auto"/>
              <w:ind w:left="-120" w:leftChars="-50" w:right="-120" w:rightChars="-50"/>
              <w:jc w:val="center"/>
              <w:rPr>
                <w:rFonts w:hint="eastAsia"/>
                <w:color w:val="auto"/>
                <w:sz w:val="24"/>
              </w:rPr>
            </w:pPr>
          </w:p>
        </w:tc>
        <w:tc>
          <w:tcPr>
            <w:tcW w:w="1568" w:type="dxa"/>
            <w:noWrap w:val="0"/>
            <w:vAlign w:val="center"/>
          </w:tcPr>
          <w:p w14:paraId="383778D7">
            <w:pPr>
              <w:spacing w:line="360" w:lineRule="auto"/>
              <w:ind w:left="-120" w:leftChars="-50" w:right="-120" w:rightChars="-50"/>
              <w:jc w:val="center"/>
              <w:rPr>
                <w:rFonts w:hint="eastAsia"/>
                <w:color w:val="auto"/>
                <w:sz w:val="24"/>
              </w:rPr>
            </w:pPr>
          </w:p>
        </w:tc>
        <w:tc>
          <w:tcPr>
            <w:tcW w:w="998" w:type="dxa"/>
            <w:noWrap w:val="0"/>
            <w:vAlign w:val="center"/>
          </w:tcPr>
          <w:p w14:paraId="0B51A144">
            <w:pPr>
              <w:spacing w:line="360" w:lineRule="auto"/>
              <w:ind w:left="-120" w:leftChars="-50" w:right="-120" w:rightChars="-50"/>
              <w:jc w:val="center"/>
              <w:rPr>
                <w:rFonts w:hint="eastAsia"/>
                <w:color w:val="auto"/>
                <w:sz w:val="24"/>
              </w:rPr>
            </w:pPr>
          </w:p>
        </w:tc>
        <w:tc>
          <w:tcPr>
            <w:tcW w:w="998" w:type="dxa"/>
            <w:noWrap w:val="0"/>
            <w:vAlign w:val="center"/>
          </w:tcPr>
          <w:p w14:paraId="1A7735C2">
            <w:pPr>
              <w:spacing w:line="360" w:lineRule="auto"/>
              <w:ind w:left="-120" w:leftChars="-50" w:right="-120" w:rightChars="-50"/>
              <w:jc w:val="center"/>
              <w:rPr>
                <w:rFonts w:hint="eastAsia"/>
                <w:color w:val="auto"/>
                <w:sz w:val="24"/>
              </w:rPr>
            </w:pPr>
          </w:p>
        </w:tc>
        <w:tc>
          <w:tcPr>
            <w:tcW w:w="793" w:type="dxa"/>
            <w:noWrap w:val="0"/>
            <w:vAlign w:val="center"/>
          </w:tcPr>
          <w:p w14:paraId="0DCC1ADA">
            <w:pPr>
              <w:spacing w:line="360" w:lineRule="auto"/>
              <w:ind w:left="-120" w:leftChars="-50" w:right="-120" w:rightChars="-50"/>
              <w:jc w:val="center"/>
              <w:rPr>
                <w:rFonts w:hint="eastAsia"/>
                <w:color w:val="auto"/>
                <w:sz w:val="24"/>
              </w:rPr>
            </w:pPr>
          </w:p>
        </w:tc>
      </w:tr>
      <w:tr w14:paraId="4E43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0857E81D">
            <w:pPr>
              <w:spacing w:line="360" w:lineRule="auto"/>
              <w:ind w:right="-120" w:rightChars="-50"/>
              <w:rPr>
                <w:rFonts w:hint="eastAsia"/>
                <w:color w:val="auto"/>
                <w:sz w:val="24"/>
              </w:rPr>
            </w:pPr>
          </w:p>
        </w:tc>
      </w:tr>
    </w:tbl>
    <w:p w14:paraId="2BD136D5">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39D5778">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307564880"/>
      <w:bookmarkStart w:id="7" w:name="_Toc436410129"/>
      <w:bookmarkStart w:id="8" w:name="_Toc436820890"/>
      <w:bookmarkStart w:id="9" w:name="_Toc436385992"/>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DAA5A0E"/>
    <w:rsid w:val="0E785EC8"/>
    <w:rsid w:val="0E786213"/>
    <w:rsid w:val="10951792"/>
    <w:rsid w:val="10AD03E0"/>
    <w:rsid w:val="11B56136"/>
    <w:rsid w:val="125007F0"/>
    <w:rsid w:val="13F43496"/>
    <w:rsid w:val="146F2A2B"/>
    <w:rsid w:val="15485AF9"/>
    <w:rsid w:val="15C10516"/>
    <w:rsid w:val="1801317B"/>
    <w:rsid w:val="19625E7D"/>
    <w:rsid w:val="19632FA4"/>
    <w:rsid w:val="1A89276C"/>
    <w:rsid w:val="1A8F64C8"/>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7B4431"/>
    <w:rsid w:val="27906CB2"/>
    <w:rsid w:val="297C0746"/>
    <w:rsid w:val="2B13530D"/>
    <w:rsid w:val="2BBD7DAF"/>
    <w:rsid w:val="2C0C1E12"/>
    <w:rsid w:val="2C2A0560"/>
    <w:rsid w:val="2CBF7373"/>
    <w:rsid w:val="2CE3425D"/>
    <w:rsid w:val="2D9578BA"/>
    <w:rsid w:val="2DBD226E"/>
    <w:rsid w:val="2DBF522F"/>
    <w:rsid w:val="2ECF35D8"/>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6F37DFE"/>
    <w:rsid w:val="47EE706F"/>
    <w:rsid w:val="48BD345D"/>
    <w:rsid w:val="49406199"/>
    <w:rsid w:val="4A8C159B"/>
    <w:rsid w:val="4B332F45"/>
    <w:rsid w:val="4B9B7203"/>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47309"/>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1E517C0"/>
    <w:rsid w:val="62230622"/>
    <w:rsid w:val="631174A8"/>
    <w:rsid w:val="643F5E62"/>
    <w:rsid w:val="650400BD"/>
    <w:rsid w:val="65CD1276"/>
    <w:rsid w:val="67E50B7E"/>
    <w:rsid w:val="69280027"/>
    <w:rsid w:val="69671797"/>
    <w:rsid w:val="698213A0"/>
    <w:rsid w:val="69DF085B"/>
    <w:rsid w:val="6A8A5DA4"/>
    <w:rsid w:val="6ABE6120"/>
    <w:rsid w:val="6B0B007F"/>
    <w:rsid w:val="6D28566E"/>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E3663A"/>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3987</Words>
  <Characters>4168</Characters>
  <Lines>0</Lines>
  <Paragraphs>0</Paragraphs>
  <TotalTime>2</TotalTime>
  <ScaleCrop>false</ScaleCrop>
  <LinksUpToDate>false</LinksUpToDate>
  <CharactersWithSpaces>5799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2026-03-12T00:59:12Z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78494284490E4C06AD1B5BC56CB96B0A_13</vt:lpwstr>
  </property>
  <property fmtid="{D5CDD505-2E9C-101B-9397-08002B2CF9AE}" pid="4" name="KSOTemplateDocerSaveRecord">
    <vt:lpwstr>eyJoZGlkIjoiNzE3MGUwZmRmNmNlNDY4Y2IxNGJlMGIxNGJmNzRhMzMiLCJ1c2VySWQiOiI3MjUwNDU1MDEifQ==</vt:lpwstr>
  </property>
</Properties>
</file>